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4" w:rsidRDefault="00D44894" w:rsidP="00D4489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t>0064.DQ.CCEN.MT.10.R.P.4</w:t>
      </w:r>
    </w:p>
    <w:p w:rsidR="00D44894" w:rsidRDefault="00D44894" w:rsidP="00FA710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E714E" w:rsidRPr="00DE19A4" w:rsidRDefault="00D54289" w:rsidP="005D21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EXPERIMENTO</w:t>
      </w:r>
      <w:r w:rsidRPr="00DE19A4">
        <w:rPr>
          <w:rFonts w:ascii="Arial" w:hAnsi="Arial" w:cs="Arial"/>
          <w:b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caps/>
          <w:sz w:val="20"/>
          <w:szCs w:val="20"/>
        </w:rPr>
        <w:t xml:space="preserve">DE </w:t>
      </w:r>
      <w:r w:rsidR="008A4C7E" w:rsidRPr="00DE19A4">
        <w:rPr>
          <w:rFonts w:ascii="Arial" w:hAnsi="Arial" w:cs="Arial"/>
          <w:b/>
          <w:caps/>
          <w:sz w:val="20"/>
          <w:szCs w:val="20"/>
        </w:rPr>
        <w:t xml:space="preserve">Obtenção do </w:t>
      </w:r>
      <w:r w:rsidR="00BC5075">
        <w:rPr>
          <w:rFonts w:ascii="Arial" w:hAnsi="Arial" w:cs="Arial"/>
          <w:b/>
          <w:caps/>
          <w:sz w:val="20"/>
          <w:szCs w:val="20"/>
        </w:rPr>
        <w:t xml:space="preserve">ALÚMEN DE POTÁSSIO </w:t>
      </w:r>
      <w:r>
        <w:rPr>
          <w:rFonts w:ascii="Arial" w:hAnsi="Arial" w:cs="Arial"/>
          <w:b/>
          <w:caps/>
          <w:sz w:val="20"/>
          <w:szCs w:val="20"/>
        </w:rPr>
        <w:t xml:space="preserve">PARA QUIMICA BÁSICA </w:t>
      </w:r>
    </w:p>
    <w:p w:rsidR="008A4C7E" w:rsidRPr="005E714E" w:rsidRDefault="005E714E" w:rsidP="00FA710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E714E">
        <w:rPr>
          <w:rFonts w:ascii="Arial" w:hAnsi="Arial" w:cs="Arial"/>
          <w:sz w:val="20"/>
          <w:szCs w:val="20"/>
        </w:rPr>
        <w:t>Katharinne de Oliveira Ramos</w:t>
      </w:r>
      <w:r w:rsidR="00BC5075" w:rsidRPr="005E714E">
        <w:rPr>
          <w:rFonts w:ascii="Arial" w:hAnsi="Arial" w:cs="Arial"/>
          <w:sz w:val="20"/>
          <w:szCs w:val="20"/>
          <w:vertAlign w:val="superscript"/>
        </w:rPr>
        <w:t>1</w:t>
      </w:r>
      <w:r w:rsidR="00DE19A4" w:rsidRPr="005E714E">
        <w:rPr>
          <w:rFonts w:ascii="Arial" w:hAnsi="Arial" w:cs="Arial"/>
          <w:sz w:val="20"/>
          <w:szCs w:val="20"/>
        </w:rPr>
        <w:t xml:space="preserve">; </w:t>
      </w:r>
      <w:r w:rsidR="00CC48B8">
        <w:rPr>
          <w:rFonts w:ascii="Arial" w:hAnsi="Arial" w:cs="Arial"/>
          <w:sz w:val="20"/>
          <w:szCs w:val="20"/>
        </w:rPr>
        <w:t>Ryldene</w:t>
      </w:r>
      <w:r w:rsidR="00E92FE7" w:rsidRPr="00E92FE7">
        <w:rPr>
          <w:rFonts w:ascii="Arial" w:hAnsi="Arial" w:cs="Arial"/>
          <w:sz w:val="20"/>
          <w:szCs w:val="20"/>
        </w:rPr>
        <w:t xml:space="preserve"> </w:t>
      </w:r>
      <w:r w:rsidR="00E92FE7">
        <w:rPr>
          <w:rFonts w:ascii="Arial" w:hAnsi="Arial" w:cs="Arial"/>
          <w:sz w:val="20"/>
          <w:szCs w:val="20"/>
        </w:rPr>
        <w:t>Marques Duarte da Cruz</w:t>
      </w:r>
      <w:r w:rsidR="00CC48B8">
        <w:rPr>
          <w:rFonts w:ascii="Arial" w:hAnsi="Arial" w:cs="Arial"/>
          <w:sz w:val="20"/>
          <w:szCs w:val="20"/>
          <w:vertAlign w:val="superscript"/>
        </w:rPr>
        <w:t>1</w:t>
      </w:r>
      <w:r w:rsidR="00CC48B8">
        <w:rPr>
          <w:rFonts w:ascii="Arial" w:hAnsi="Arial" w:cs="Arial"/>
          <w:sz w:val="20"/>
          <w:szCs w:val="20"/>
        </w:rPr>
        <w:t xml:space="preserve">, </w:t>
      </w:r>
      <w:r w:rsidRPr="005E714E">
        <w:rPr>
          <w:rFonts w:ascii="Arial" w:hAnsi="Arial" w:cs="Arial"/>
          <w:sz w:val="20"/>
          <w:szCs w:val="20"/>
        </w:rPr>
        <w:t>Raquel Gomes do Nascimento</w:t>
      </w:r>
      <w:r w:rsidR="00207551">
        <w:rPr>
          <w:rFonts w:ascii="Arial" w:hAnsi="Arial" w:cs="Arial"/>
          <w:sz w:val="20"/>
          <w:szCs w:val="20"/>
          <w:vertAlign w:val="superscript"/>
        </w:rPr>
        <w:t>1</w:t>
      </w:r>
      <w:r w:rsidR="00DE19A4" w:rsidRPr="005E714E">
        <w:rPr>
          <w:rFonts w:ascii="Arial" w:hAnsi="Arial" w:cs="Arial"/>
          <w:sz w:val="20"/>
          <w:szCs w:val="20"/>
        </w:rPr>
        <w:t>;</w:t>
      </w:r>
      <w:r w:rsidR="00DE19A4" w:rsidRPr="005E714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A4C7E" w:rsidRPr="005E714E">
        <w:rPr>
          <w:rFonts w:ascii="Arial" w:hAnsi="Arial" w:cs="Arial"/>
          <w:sz w:val="20"/>
          <w:szCs w:val="20"/>
        </w:rPr>
        <w:t xml:space="preserve">Maria </w:t>
      </w:r>
      <w:r w:rsidR="00BC5075" w:rsidRPr="005E714E">
        <w:rPr>
          <w:rFonts w:ascii="Arial" w:hAnsi="Arial" w:cs="Arial"/>
          <w:sz w:val="20"/>
          <w:szCs w:val="20"/>
        </w:rPr>
        <w:t>Gardênnia da Fonseca</w:t>
      </w:r>
      <w:r w:rsidR="0020755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 w:rsidR="00207551" w:rsidRPr="00A65811">
        <w:rPr>
          <w:rFonts w:ascii="Arial" w:hAnsi="Arial" w:cs="Arial"/>
          <w:sz w:val="20"/>
          <w:szCs w:val="20"/>
        </w:rPr>
        <w:t xml:space="preserve">Sherlan </w:t>
      </w:r>
      <w:r w:rsidR="00A65811" w:rsidRPr="00A65811">
        <w:rPr>
          <w:rFonts w:ascii="Arial" w:hAnsi="Arial" w:cs="Arial"/>
          <w:sz w:val="20"/>
          <w:szCs w:val="20"/>
        </w:rPr>
        <w:t>Guimarães</w:t>
      </w:r>
      <w:r w:rsidR="00A65811">
        <w:rPr>
          <w:rFonts w:ascii="Arial" w:hAnsi="Arial" w:cs="Arial"/>
          <w:sz w:val="20"/>
          <w:szCs w:val="20"/>
        </w:rPr>
        <w:t xml:space="preserve"> Lemos</w:t>
      </w:r>
      <w:r w:rsidR="00207551">
        <w:rPr>
          <w:rFonts w:ascii="Arial" w:hAnsi="Arial" w:cs="Arial"/>
          <w:sz w:val="20"/>
          <w:szCs w:val="20"/>
          <w:vertAlign w:val="superscript"/>
        </w:rPr>
        <w:t>3</w:t>
      </w:r>
    </w:p>
    <w:p w:rsidR="00F45422" w:rsidRDefault="00DE19A4" w:rsidP="00FA710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Exatas e da Natureza/ Departamento de Química/MONITORIA</w:t>
      </w:r>
    </w:p>
    <w:p w:rsidR="00FA7103" w:rsidRDefault="00FA7103" w:rsidP="00FA710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45422" w:rsidRDefault="00DE19A4" w:rsidP="00FA7103">
      <w:pPr>
        <w:spacing w:line="360" w:lineRule="auto"/>
        <w:rPr>
          <w:rFonts w:ascii="Arial" w:hAnsi="Arial" w:cs="Arial"/>
          <w:sz w:val="20"/>
          <w:szCs w:val="20"/>
        </w:rPr>
      </w:pPr>
      <w:r w:rsidRPr="00DE19A4">
        <w:rPr>
          <w:rFonts w:ascii="Arial" w:hAnsi="Arial" w:cs="Arial"/>
          <w:sz w:val="20"/>
          <w:szCs w:val="20"/>
        </w:rPr>
        <w:t xml:space="preserve">Palavras-chave: </w:t>
      </w:r>
      <w:r w:rsidR="00BC5075">
        <w:rPr>
          <w:rFonts w:ascii="Arial" w:hAnsi="Arial" w:cs="Arial"/>
          <w:sz w:val="20"/>
          <w:szCs w:val="20"/>
        </w:rPr>
        <w:t>alúmen de potássio,</w:t>
      </w:r>
      <w:r w:rsidRPr="00DE19A4">
        <w:rPr>
          <w:rFonts w:ascii="Arial" w:hAnsi="Arial" w:cs="Arial"/>
          <w:sz w:val="20"/>
          <w:szCs w:val="20"/>
        </w:rPr>
        <w:t xml:space="preserve"> química verde, reações químicas.</w:t>
      </w:r>
    </w:p>
    <w:p w:rsidR="00F45422" w:rsidRDefault="00F45422" w:rsidP="00FA710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45422" w:rsidRPr="00F45422" w:rsidRDefault="00F45422" w:rsidP="00FA7103">
      <w:pPr>
        <w:spacing w:line="360" w:lineRule="auto"/>
        <w:jc w:val="center"/>
        <w:rPr>
          <w:rFonts w:ascii="Arial" w:hAnsi="Arial" w:cs="Arial"/>
          <w:sz w:val="20"/>
          <w:szCs w:val="20"/>
        </w:rPr>
        <w:sectPr w:rsidR="00F45422" w:rsidRPr="00F45422" w:rsidSect="00FA7103">
          <w:headerReference w:type="default" r:id="rId7"/>
          <w:footerReference w:type="even" r:id="rId8"/>
          <w:footerReference w:type="default" r:id="rId9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:rsidR="008A4C7E" w:rsidRPr="00DE19A4" w:rsidRDefault="008620DA" w:rsidP="00FA710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620DA">
        <w:rPr>
          <w:rFonts w:ascii="Arial" w:hAnsi="Arial" w:cs="Arial"/>
          <w:sz w:val="20"/>
          <w:szCs w:val="20"/>
        </w:rPr>
        <w:lastRenderedPageBreak/>
        <w:t xml:space="preserve">A nova estrutura curricular dos cursos de </w:t>
      </w:r>
      <w:r w:rsidR="00FA7103">
        <w:rPr>
          <w:rFonts w:ascii="Arial" w:hAnsi="Arial" w:cs="Arial"/>
          <w:sz w:val="20"/>
          <w:szCs w:val="20"/>
        </w:rPr>
        <w:t>Q</w:t>
      </w:r>
      <w:r w:rsidRPr="008620DA">
        <w:rPr>
          <w:rFonts w:ascii="Arial" w:hAnsi="Arial" w:cs="Arial"/>
          <w:sz w:val="20"/>
          <w:szCs w:val="20"/>
        </w:rPr>
        <w:t xml:space="preserve">uímica normalizada pela resolução CONSEPE 11/2006 estabelece uma nova carga horária para as disciplinas experimentais ao longo da formação acadêmica. A proposta visa uma formação baseada no próprio caráter de ciência integradora (com foco em sistemas moleculares organizados) que a Química tem adquirido nos últimos anos requerendo uma formação inter e multidisciplinar e generalista. Uma das conseqüências dessa visão é uma ênfase mais acentuada na parte experimental. </w:t>
      </w:r>
      <w:r>
        <w:rPr>
          <w:rFonts w:ascii="Arial" w:hAnsi="Arial" w:cs="Arial"/>
          <w:sz w:val="20"/>
          <w:szCs w:val="20"/>
        </w:rPr>
        <w:t>Desta forma, o</w:t>
      </w:r>
      <w:r w:rsidR="00121EE1" w:rsidRPr="008620DA">
        <w:rPr>
          <w:rFonts w:ascii="Arial" w:hAnsi="Arial" w:cs="Arial"/>
          <w:sz w:val="20"/>
          <w:szCs w:val="20"/>
        </w:rPr>
        <w:t xml:space="preserve"> objetivo desse trabalho é apresentar os resultados de um projeto que foi </w:t>
      </w:r>
      <w:r w:rsidRPr="008620DA">
        <w:rPr>
          <w:rFonts w:ascii="Arial" w:hAnsi="Arial" w:cs="Arial"/>
          <w:sz w:val="20"/>
          <w:szCs w:val="20"/>
        </w:rPr>
        <w:t>desenvolvid</w:t>
      </w:r>
      <w:r w:rsidR="00CA5B7E">
        <w:rPr>
          <w:rFonts w:ascii="Arial" w:hAnsi="Arial" w:cs="Arial"/>
          <w:sz w:val="20"/>
          <w:szCs w:val="20"/>
        </w:rPr>
        <w:t>o</w:t>
      </w:r>
      <w:r w:rsidRPr="008620DA">
        <w:rPr>
          <w:rFonts w:ascii="Arial" w:hAnsi="Arial" w:cs="Arial"/>
          <w:sz w:val="20"/>
          <w:szCs w:val="20"/>
        </w:rPr>
        <w:t xml:space="preserve"> no âmbito d</w:t>
      </w:r>
      <w:r w:rsidR="0087297D">
        <w:rPr>
          <w:rFonts w:ascii="Arial" w:hAnsi="Arial" w:cs="Arial"/>
          <w:sz w:val="20"/>
          <w:szCs w:val="20"/>
        </w:rPr>
        <w:t>o programa de</w:t>
      </w:r>
      <w:r w:rsidRPr="008620DA">
        <w:rPr>
          <w:rFonts w:ascii="Arial" w:hAnsi="Arial" w:cs="Arial"/>
          <w:sz w:val="20"/>
          <w:szCs w:val="20"/>
        </w:rPr>
        <w:t xml:space="preserve"> monitoria</w:t>
      </w:r>
      <w:r w:rsidR="0087297D">
        <w:rPr>
          <w:rFonts w:ascii="Arial" w:hAnsi="Arial" w:cs="Arial"/>
          <w:sz w:val="20"/>
          <w:szCs w:val="20"/>
        </w:rPr>
        <w:t>,</w:t>
      </w:r>
      <w:r w:rsidRPr="008620DA">
        <w:rPr>
          <w:rFonts w:ascii="Arial" w:hAnsi="Arial" w:cs="Arial"/>
          <w:sz w:val="20"/>
          <w:szCs w:val="20"/>
        </w:rPr>
        <w:t xml:space="preserve"> visando </w:t>
      </w:r>
      <w:r w:rsidR="00E92FE7">
        <w:rPr>
          <w:rFonts w:ascii="Arial" w:hAnsi="Arial" w:cs="Arial"/>
          <w:sz w:val="20"/>
          <w:szCs w:val="20"/>
        </w:rPr>
        <w:t xml:space="preserve">melhora </w:t>
      </w:r>
      <w:r w:rsidR="00286CD7">
        <w:rPr>
          <w:rFonts w:ascii="Arial" w:hAnsi="Arial" w:cs="Arial"/>
          <w:sz w:val="20"/>
          <w:szCs w:val="20"/>
        </w:rPr>
        <w:t xml:space="preserve">na componente curricular </w:t>
      </w:r>
      <w:r w:rsidR="00FA7103">
        <w:rPr>
          <w:rFonts w:ascii="Arial" w:hAnsi="Arial" w:cs="Arial"/>
          <w:sz w:val="20"/>
          <w:szCs w:val="20"/>
        </w:rPr>
        <w:t>Q</w:t>
      </w:r>
      <w:r w:rsidR="00286CD7">
        <w:rPr>
          <w:rFonts w:ascii="Arial" w:hAnsi="Arial" w:cs="Arial"/>
          <w:sz w:val="20"/>
          <w:szCs w:val="20"/>
        </w:rPr>
        <w:t xml:space="preserve">uímica </w:t>
      </w:r>
      <w:r w:rsidR="00FA7103">
        <w:rPr>
          <w:rFonts w:ascii="Arial" w:hAnsi="Arial" w:cs="Arial"/>
          <w:sz w:val="20"/>
          <w:szCs w:val="20"/>
        </w:rPr>
        <w:t>B</w:t>
      </w:r>
      <w:r w:rsidR="00286CD7">
        <w:rPr>
          <w:rFonts w:ascii="Arial" w:hAnsi="Arial" w:cs="Arial"/>
          <w:sz w:val="20"/>
          <w:szCs w:val="20"/>
        </w:rPr>
        <w:t xml:space="preserve">ásica </w:t>
      </w:r>
      <w:r w:rsidR="00FA7103">
        <w:rPr>
          <w:rFonts w:ascii="Arial" w:hAnsi="Arial" w:cs="Arial"/>
          <w:sz w:val="20"/>
          <w:szCs w:val="20"/>
        </w:rPr>
        <w:t>E</w:t>
      </w:r>
      <w:r w:rsidR="00286CD7">
        <w:rPr>
          <w:rFonts w:ascii="Arial" w:hAnsi="Arial" w:cs="Arial"/>
          <w:sz w:val="20"/>
          <w:szCs w:val="20"/>
        </w:rPr>
        <w:t xml:space="preserve">xperimental que pertence </w:t>
      </w:r>
      <w:r w:rsidR="00FA7103">
        <w:rPr>
          <w:rFonts w:ascii="Arial" w:hAnsi="Arial" w:cs="Arial"/>
          <w:sz w:val="20"/>
          <w:szCs w:val="20"/>
        </w:rPr>
        <w:t>à</w:t>
      </w:r>
      <w:r w:rsidRPr="008620DA">
        <w:rPr>
          <w:rFonts w:ascii="Arial" w:hAnsi="Arial" w:cs="Arial"/>
          <w:sz w:val="20"/>
          <w:szCs w:val="20"/>
        </w:rPr>
        <w:t xml:space="preserve"> nova</w:t>
      </w:r>
      <w:r w:rsidR="00121EE1" w:rsidRPr="00121EE1">
        <w:rPr>
          <w:rFonts w:ascii="Arial" w:hAnsi="Arial" w:cs="Arial"/>
          <w:sz w:val="20"/>
          <w:szCs w:val="20"/>
        </w:rPr>
        <w:t xml:space="preserve"> estrutura curricular</w:t>
      </w:r>
      <w:r w:rsidR="00286CD7">
        <w:rPr>
          <w:rFonts w:ascii="Arial" w:hAnsi="Arial" w:cs="Arial"/>
          <w:sz w:val="20"/>
          <w:szCs w:val="20"/>
        </w:rPr>
        <w:t xml:space="preserve"> dos cursos de </w:t>
      </w:r>
      <w:r w:rsidR="00D54289">
        <w:rPr>
          <w:rFonts w:ascii="Arial" w:hAnsi="Arial" w:cs="Arial"/>
          <w:sz w:val="20"/>
          <w:szCs w:val="20"/>
        </w:rPr>
        <w:t>química</w:t>
      </w:r>
      <w:r w:rsidR="0087297D">
        <w:rPr>
          <w:rFonts w:ascii="Arial" w:hAnsi="Arial" w:cs="Arial"/>
          <w:sz w:val="20"/>
          <w:szCs w:val="20"/>
        </w:rPr>
        <w:t xml:space="preserve">. </w:t>
      </w:r>
      <w:r w:rsidR="009F7C7E" w:rsidRPr="009F7C7E">
        <w:rPr>
          <w:rFonts w:ascii="Arial" w:hAnsi="Arial" w:cs="Arial"/>
          <w:sz w:val="20"/>
          <w:szCs w:val="20"/>
        </w:rPr>
        <w:t>Neste contexto, a</w:t>
      </w:r>
      <w:r w:rsidR="009F7C7E" w:rsidRPr="009F7C7E">
        <w:rPr>
          <w:rFonts w:ascii="Arial" w:hAnsi="Arial" w:cs="Arial"/>
          <w:bCs/>
          <w:sz w:val="20"/>
          <w:szCs w:val="20"/>
        </w:rPr>
        <w:t xml:space="preserve"> disciplina </w:t>
      </w:r>
      <w:r w:rsidR="00FA7103">
        <w:rPr>
          <w:rFonts w:ascii="Arial" w:hAnsi="Arial" w:cs="Arial"/>
          <w:bCs/>
          <w:sz w:val="20"/>
          <w:szCs w:val="20"/>
        </w:rPr>
        <w:t>Q</w:t>
      </w:r>
      <w:r w:rsidR="009F7C7E" w:rsidRPr="009F7C7E">
        <w:rPr>
          <w:rFonts w:ascii="Arial" w:hAnsi="Arial" w:cs="Arial"/>
          <w:bCs/>
          <w:sz w:val="20"/>
          <w:szCs w:val="20"/>
        </w:rPr>
        <w:t xml:space="preserve">uímica </w:t>
      </w:r>
      <w:r w:rsidR="00FA7103">
        <w:rPr>
          <w:rFonts w:ascii="Arial" w:hAnsi="Arial" w:cs="Arial"/>
          <w:bCs/>
          <w:sz w:val="20"/>
          <w:szCs w:val="20"/>
        </w:rPr>
        <w:t>B</w:t>
      </w:r>
      <w:r w:rsidR="009F7C7E" w:rsidRPr="009F7C7E">
        <w:rPr>
          <w:rFonts w:ascii="Arial" w:hAnsi="Arial" w:cs="Arial"/>
          <w:bCs/>
          <w:sz w:val="20"/>
          <w:szCs w:val="20"/>
        </w:rPr>
        <w:t xml:space="preserve">ásica </w:t>
      </w:r>
      <w:r w:rsidR="00FA7103">
        <w:rPr>
          <w:rFonts w:ascii="Arial" w:hAnsi="Arial" w:cs="Arial"/>
          <w:bCs/>
          <w:sz w:val="20"/>
          <w:szCs w:val="20"/>
        </w:rPr>
        <w:t>E</w:t>
      </w:r>
      <w:r w:rsidR="009F7C7E" w:rsidRPr="009F7C7E">
        <w:rPr>
          <w:rFonts w:ascii="Arial" w:hAnsi="Arial" w:cs="Arial"/>
          <w:bCs/>
          <w:sz w:val="20"/>
          <w:szCs w:val="20"/>
        </w:rPr>
        <w:t xml:space="preserve">xperimental pertence ao segundo semestre dos cursos de </w:t>
      </w:r>
      <w:r w:rsidR="00FA7103">
        <w:rPr>
          <w:rFonts w:ascii="Arial" w:hAnsi="Arial" w:cs="Arial"/>
          <w:bCs/>
          <w:sz w:val="20"/>
          <w:szCs w:val="20"/>
        </w:rPr>
        <w:t>Q</w:t>
      </w:r>
      <w:r w:rsidR="009F7C7E" w:rsidRPr="009F7C7E">
        <w:rPr>
          <w:rFonts w:ascii="Arial" w:hAnsi="Arial" w:cs="Arial"/>
          <w:bCs/>
          <w:sz w:val="20"/>
          <w:szCs w:val="20"/>
        </w:rPr>
        <w:t>uímica cujo objetivo consiste na introdução de técnicas básicas e segurança em laboratório inclusive com o domínio do preparo de soluções e sua padronização. Alem disto, conteúdos como reações químicas têm sido abordados. A disciplina não apresenta altos índices de reprovação estando entre aquelas com maior nível de apro</w:t>
      </w:r>
      <w:r w:rsidR="009F7C7E">
        <w:rPr>
          <w:rFonts w:ascii="Arial" w:hAnsi="Arial" w:cs="Arial"/>
          <w:bCs/>
          <w:sz w:val="20"/>
          <w:szCs w:val="20"/>
        </w:rPr>
        <w:t>veitamento. No entanto, devido à</w:t>
      </w:r>
      <w:r w:rsidR="009F7C7E" w:rsidRPr="009F7C7E">
        <w:rPr>
          <w:rFonts w:ascii="Arial" w:hAnsi="Arial" w:cs="Arial"/>
          <w:bCs/>
          <w:sz w:val="20"/>
          <w:szCs w:val="20"/>
        </w:rPr>
        <w:t xml:space="preserve"> necessidade </w:t>
      </w:r>
      <w:r w:rsidR="009F7C7E">
        <w:rPr>
          <w:rFonts w:ascii="Arial" w:hAnsi="Arial" w:cs="Arial"/>
          <w:bCs/>
          <w:sz w:val="20"/>
          <w:szCs w:val="20"/>
        </w:rPr>
        <w:t>de melhoria das prá</w:t>
      </w:r>
      <w:r w:rsidR="009F7C7E" w:rsidRPr="009F7C7E">
        <w:rPr>
          <w:rFonts w:ascii="Arial" w:hAnsi="Arial" w:cs="Arial"/>
          <w:bCs/>
          <w:sz w:val="20"/>
          <w:szCs w:val="20"/>
        </w:rPr>
        <w:t xml:space="preserve">ticas de laboratório na visão de </w:t>
      </w:r>
      <w:r w:rsidR="00FA7103">
        <w:rPr>
          <w:rFonts w:ascii="Arial" w:hAnsi="Arial" w:cs="Arial"/>
          <w:bCs/>
          <w:sz w:val="20"/>
          <w:szCs w:val="20"/>
        </w:rPr>
        <w:t>Q</w:t>
      </w:r>
      <w:r w:rsidR="009F7C7E" w:rsidRPr="009F7C7E">
        <w:rPr>
          <w:rFonts w:ascii="Arial" w:hAnsi="Arial" w:cs="Arial"/>
          <w:bCs/>
          <w:sz w:val="20"/>
          <w:szCs w:val="20"/>
        </w:rPr>
        <w:t xml:space="preserve">uímica </w:t>
      </w:r>
      <w:r w:rsidR="00FA7103">
        <w:rPr>
          <w:rFonts w:ascii="Arial" w:hAnsi="Arial" w:cs="Arial"/>
          <w:bCs/>
          <w:sz w:val="20"/>
          <w:szCs w:val="20"/>
        </w:rPr>
        <w:t>V</w:t>
      </w:r>
      <w:r w:rsidR="009F7C7E" w:rsidRPr="009F7C7E">
        <w:rPr>
          <w:rFonts w:ascii="Arial" w:hAnsi="Arial" w:cs="Arial"/>
          <w:bCs/>
          <w:sz w:val="20"/>
          <w:szCs w:val="20"/>
        </w:rPr>
        <w:t>erde tornou-se necessário a introdução de experimentos cuja</w:t>
      </w:r>
      <w:r w:rsidR="009F7C7E">
        <w:rPr>
          <w:rFonts w:ascii="Arial" w:hAnsi="Arial" w:cs="Arial"/>
          <w:bCs/>
          <w:sz w:val="20"/>
          <w:szCs w:val="20"/>
        </w:rPr>
        <w:t>s</w:t>
      </w:r>
      <w:r w:rsidR="009F7C7E" w:rsidRPr="009F7C7E">
        <w:rPr>
          <w:rFonts w:ascii="Arial" w:hAnsi="Arial" w:cs="Arial"/>
          <w:bCs/>
          <w:sz w:val="20"/>
          <w:szCs w:val="20"/>
        </w:rPr>
        <w:t xml:space="preserve"> quantidade</w:t>
      </w:r>
      <w:r w:rsidR="009F7C7E">
        <w:rPr>
          <w:rFonts w:ascii="Arial" w:hAnsi="Arial" w:cs="Arial"/>
          <w:bCs/>
          <w:sz w:val="20"/>
          <w:szCs w:val="20"/>
        </w:rPr>
        <w:t>s</w:t>
      </w:r>
      <w:r w:rsidR="009F7C7E" w:rsidRPr="009F7C7E">
        <w:rPr>
          <w:rFonts w:ascii="Arial" w:hAnsi="Arial" w:cs="Arial"/>
          <w:bCs/>
          <w:sz w:val="20"/>
          <w:szCs w:val="20"/>
        </w:rPr>
        <w:t xml:space="preserve"> de</w:t>
      </w:r>
      <w:r w:rsidR="009F7C7E">
        <w:rPr>
          <w:rFonts w:ascii="Arial" w:hAnsi="Arial" w:cs="Arial"/>
          <w:bCs/>
          <w:sz w:val="20"/>
          <w:szCs w:val="20"/>
        </w:rPr>
        <w:t xml:space="preserve"> reagentes utilizados e</w:t>
      </w:r>
      <w:r w:rsidR="009F7C7E" w:rsidRPr="009F7C7E">
        <w:rPr>
          <w:rFonts w:ascii="Arial" w:hAnsi="Arial" w:cs="Arial"/>
          <w:bCs/>
          <w:sz w:val="20"/>
          <w:szCs w:val="20"/>
        </w:rPr>
        <w:t xml:space="preserve"> resíduos </w:t>
      </w:r>
      <w:r w:rsidR="009F7C7E">
        <w:rPr>
          <w:rFonts w:ascii="Arial" w:hAnsi="Arial" w:cs="Arial"/>
          <w:bCs/>
          <w:sz w:val="20"/>
          <w:szCs w:val="20"/>
        </w:rPr>
        <w:t>produzidos fossem minimizada</w:t>
      </w:r>
      <w:r w:rsidR="009F7C7E" w:rsidRPr="009F7C7E">
        <w:rPr>
          <w:rFonts w:ascii="Arial" w:hAnsi="Arial" w:cs="Arial"/>
          <w:bCs/>
          <w:sz w:val="20"/>
          <w:szCs w:val="20"/>
        </w:rPr>
        <w:t>s.</w:t>
      </w:r>
      <w:r w:rsidR="009F7C7E">
        <w:rPr>
          <w:rFonts w:ascii="Arial" w:hAnsi="Arial" w:cs="Arial"/>
          <w:bCs/>
          <w:sz w:val="20"/>
          <w:szCs w:val="20"/>
        </w:rPr>
        <w:t xml:space="preserve"> </w:t>
      </w:r>
      <w:r w:rsidR="0099532F" w:rsidRPr="00DE19A4">
        <w:rPr>
          <w:rFonts w:ascii="Arial" w:hAnsi="Arial" w:cs="Arial"/>
          <w:sz w:val="20"/>
          <w:szCs w:val="20"/>
        </w:rPr>
        <w:t xml:space="preserve">Assim, </w:t>
      </w:r>
      <w:r w:rsidR="00286CD7">
        <w:rPr>
          <w:rFonts w:ascii="Arial" w:hAnsi="Arial" w:cs="Arial"/>
          <w:sz w:val="20"/>
          <w:szCs w:val="20"/>
        </w:rPr>
        <w:t>o desenvolvimento do trabalho iniciou-se com um levantamento bibliográfico visando selecionar um experimento que priorizasse os conceitos de rendimento de uma reação. Entre os experimentos foram selecionadas duas propostas que envolvia</w:t>
      </w:r>
      <w:r w:rsidR="009F7C7E">
        <w:rPr>
          <w:rFonts w:ascii="Arial" w:hAnsi="Arial" w:cs="Arial"/>
          <w:sz w:val="20"/>
          <w:szCs w:val="20"/>
        </w:rPr>
        <w:t>m</w:t>
      </w:r>
      <w:r w:rsidR="00286CD7">
        <w:rPr>
          <w:rFonts w:ascii="Arial" w:hAnsi="Arial" w:cs="Arial"/>
          <w:sz w:val="20"/>
          <w:szCs w:val="20"/>
        </w:rPr>
        <w:t xml:space="preserve"> a</w:t>
      </w:r>
      <w:r w:rsidR="00D54289">
        <w:rPr>
          <w:rFonts w:ascii="Arial" w:hAnsi="Arial" w:cs="Arial"/>
          <w:sz w:val="20"/>
          <w:szCs w:val="20"/>
        </w:rPr>
        <w:t>s</w:t>
      </w:r>
      <w:r w:rsidR="00286CD7">
        <w:rPr>
          <w:rFonts w:ascii="Arial" w:hAnsi="Arial" w:cs="Arial"/>
          <w:sz w:val="20"/>
          <w:szCs w:val="20"/>
        </w:rPr>
        <w:t xml:space="preserve"> síntese</w:t>
      </w:r>
      <w:r w:rsidR="00D54289">
        <w:rPr>
          <w:rFonts w:ascii="Arial" w:hAnsi="Arial" w:cs="Arial"/>
          <w:sz w:val="20"/>
          <w:szCs w:val="20"/>
        </w:rPr>
        <w:t>s</w:t>
      </w:r>
      <w:r w:rsidR="00286CD7">
        <w:rPr>
          <w:rFonts w:ascii="Arial" w:hAnsi="Arial" w:cs="Arial"/>
          <w:sz w:val="20"/>
          <w:szCs w:val="20"/>
        </w:rPr>
        <w:t xml:space="preserve"> d</w:t>
      </w:r>
      <w:r w:rsidR="00D54289">
        <w:rPr>
          <w:rFonts w:ascii="Arial" w:hAnsi="Arial" w:cs="Arial"/>
          <w:sz w:val="20"/>
          <w:szCs w:val="20"/>
        </w:rPr>
        <w:t xml:space="preserve">os sais </w:t>
      </w:r>
      <w:r w:rsidR="00286CD7">
        <w:rPr>
          <w:rFonts w:ascii="Arial" w:hAnsi="Arial" w:cs="Arial"/>
          <w:sz w:val="20"/>
          <w:szCs w:val="20"/>
        </w:rPr>
        <w:t>sulfato ferros</w:t>
      </w:r>
      <w:r w:rsidR="009F7C7E">
        <w:rPr>
          <w:rFonts w:ascii="Arial" w:hAnsi="Arial" w:cs="Arial"/>
          <w:sz w:val="20"/>
          <w:szCs w:val="20"/>
        </w:rPr>
        <w:t>o</w:t>
      </w:r>
      <w:r w:rsidR="00D54289">
        <w:rPr>
          <w:rFonts w:ascii="Arial" w:hAnsi="Arial" w:cs="Arial"/>
          <w:sz w:val="20"/>
          <w:szCs w:val="20"/>
        </w:rPr>
        <w:t xml:space="preserve"> (FeSO</w:t>
      </w:r>
      <w:r w:rsidR="00D54289" w:rsidRPr="00D54289">
        <w:rPr>
          <w:rFonts w:ascii="Arial" w:hAnsi="Arial" w:cs="Arial"/>
          <w:sz w:val="20"/>
          <w:szCs w:val="20"/>
          <w:vertAlign w:val="subscript"/>
        </w:rPr>
        <w:t>4</w:t>
      </w:r>
      <w:r w:rsidR="004024B0">
        <w:rPr>
          <w:rFonts w:ascii="Arial" w:hAnsi="Arial" w:cs="Arial"/>
          <w:sz w:val="20"/>
          <w:szCs w:val="20"/>
        </w:rPr>
        <w:t>.7H</w:t>
      </w:r>
      <w:r w:rsidR="004024B0" w:rsidRPr="004024B0">
        <w:rPr>
          <w:rFonts w:ascii="Arial" w:hAnsi="Arial" w:cs="Arial"/>
          <w:sz w:val="20"/>
          <w:szCs w:val="20"/>
          <w:vertAlign w:val="subscript"/>
        </w:rPr>
        <w:t>2</w:t>
      </w:r>
      <w:r w:rsidR="004024B0">
        <w:rPr>
          <w:rFonts w:ascii="Arial" w:hAnsi="Arial" w:cs="Arial"/>
          <w:sz w:val="20"/>
          <w:szCs w:val="20"/>
        </w:rPr>
        <w:t>O</w:t>
      </w:r>
      <w:r w:rsidR="00D54289">
        <w:rPr>
          <w:rFonts w:ascii="Arial" w:hAnsi="Arial" w:cs="Arial"/>
          <w:sz w:val="20"/>
          <w:szCs w:val="20"/>
        </w:rPr>
        <w:t>) e do alú</w:t>
      </w:r>
      <w:r w:rsidR="00286CD7">
        <w:rPr>
          <w:rFonts w:ascii="Arial" w:hAnsi="Arial" w:cs="Arial"/>
          <w:sz w:val="20"/>
          <w:szCs w:val="20"/>
        </w:rPr>
        <w:t>men de potássio</w:t>
      </w:r>
      <w:r w:rsidR="00D54289">
        <w:rPr>
          <w:rFonts w:ascii="Arial" w:hAnsi="Arial" w:cs="Arial"/>
          <w:sz w:val="20"/>
          <w:szCs w:val="20"/>
        </w:rPr>
        <w:t xml:space="preserve"> </w:t>
      </w:r>
      <w:r w:rsidR="00D54289" w:rsidRPr="00D54289">
        <w:rPr>
          <w:rFonts w:ascii="Arial" w:hAnsi="Arial" w:cs="Arial"/>
          <w:sz w:val="20"/>
          <w:szCs w:val="20"/>
        </w:rPr>
        <w:t>(KAl(SO</w:t>
      </w:r>
      <w:r w:rsidR="00D54289" w:rsidRPr="00D54289">
        <w:rPr>
          <w:rFonts w:ascii="Arial" w:hAnsi="Arial" w:cs="Arial"/>
          <w:sz w:val="20"/>
          <w:szCs w:val="20"/>
          <w:vertAlign w:val="subscript"/>
        </w:rPr>
        <w:t>4</w:t>
      </w:r>
      <w:r w:rsidR="00D54289" w:rsidRPr="00D54289">
        <w:rPr>
          <w:rFonts w:ascii="Arial" w:hAnsi="Arial" w:cs="Arial"/>
          <w:sz w:val="20"/>
          <w:szCs w:val="20"/>
        </w:rPr>
        <w:t>)</w:t>
      </w:r>
      <w:r w:rsidR="00D54289" w:rsidRPr="00D54289">
        <w:rPr>
          <w:rFonts w:ascii="Arial" w:hAnsi="Arial" w:cs="Arial"/>
          <w:sz w:val="20"/>
          <w:szCs w:val="20"/>
          <w:vertAlign w:val="subscript"/>
        </w:rPr>
        <w:t>2</w:t>
      </w:r>
      <w:r w:rsidR="00D54289" w:rsidRPr="00D54289">
        <w:rPr>
          <w:rFonts w:ascii="Arial" w:hAnsi="Arial" w:cs="Arial"/>
          <w:sz w:val="20"/>
          <w:szCs w:val="20"/>
        </w:rPr>
        <w:t>.12H</w:t>
      </w:r>
      <w:r w:rsidR="00D54289" w:rsidRPr="00D54289">
        <w:rPr>
          <w:rFonts w:ascii="Arial" w:hAnsi="Arial" w:cs="Arial"/>
          <w:sz w:val="20"/>
          <w:szCs w:val="20"/>
          <w:vertAlign w:val="subscript"/>
        </w:rPr>
        <w:t>2</w:t>
      </w:r>
      <w:r w:rsidR="00D54289" w:rsidRPr="00D54289">
        <w:rPr>
          <w:rFonts w:ascii="Arial" w:hAnsi="Arial" w:cs="Arial"/>
          <w:sz w:val="20"/>
          <w:szCs w:val="20"/>
        </w:rPr>
        <w:t>O)</w:t>
      </w:r>
      <w:r w:rsidR="00286CD7" w:rsidRPr="00D54289">
        <w:rPr>
          <w:rFonts w:ascii="Arial" w:hAnsi="Arial" w:cs="Arial"/>
          <w:sz w:val="20"/>
          <w:szCs w:val="20"/>
        </w:rPr>
        <w:t>.</w:t>
      </w:r>
      <w:r w:rsidR="00286CD7">
        <w:rPr>
          <w:rFonts w:ascii="Arial" w:hAnsi="Arial" w:cs="Arial"/>
          <w:sz w:val="20"/>
          <w:szCs w:val="20"/>
        </w:rPr>
        <w:t xml:space="preserve"> Levando em consideração a natureza </w:t>
      </w:r>
      <w:r w:rsidR="009F7C7E">
        <w:rPr>
          <w:rFonts w:ascii="Arial" w:hAnsi="Arial" w:cs="Arial"/>
          <w:sz w:val="20"/>
          <w:szCs w:val="20"/>
        </w:rPr>
        <w:t xml:space="preserve">e quantidade </w:t>
      </w:r>
      <w:r w:rsidR="00286CD7">
        <w:rPr>
          <w:rFonts w:ascii="Arial" w:hAnsi="Arial" w:cs="Arial"/>
          <w:sz w:val="20"/>
          <w:szCs w:val="20"/>
        </w:rPr>
        <w:t>dos reagentes e dos resíduos gerados</w:t>
      </w:r>
      <w:r w:rsidR="009F7C7E">
        <w:rPr>
          <w:rFonts w:ascii="Arial" w:hAnsi="Arial" w:cs="Arial"/>
          <w:sz w:val="20"/>
          <w:szCs w:val="20"/>
        </w:rPr>
        <w:t>,</w:t>
      </w:r>
      <w:r w:rsidR="00286CD7">
        <w:rPr>
          <w:rFonts w:ascii="Arial" w:hAnsi="Arial" w:cs="Arial"/>
          <w:sz w:val="20"/>
          <w:szCs w:val="20"/>
        </w:rPr>
        <w:t xml:space="preserve"> optou-se pela prep</w:t>
      </w:r>
      <w:r w:rsidR="009F7C7E">
        <w:rPr>
          <w:rFonts w:ascii="Arial" w:hAnsi="Arial" w:cs="Arial"/>
          <w:sz w:val="20"/>
          <w:szCs w:val="20"/>
        </w:rPr>
        <w:t>a</w:t>
      </w:r>
      <w:r w:rsidR="00FA7103">
        <w:rPr>
          <w:rFonts w:ascii="Arial" w:hAnsi="Arial" w:cs="Arial"/>
          <w:sz w:val="20"/>
          <w:szCs w:val="20"/>
        </w:rPr>
        <w:t xml:space="preserve">ração do </w:t>
      </w:r>
      <w:r w:rsidR="00384347">
        <w:rPr>
          <w:rFonts w:ascii="Arial" w:hAnsi="Arial" w:cs="Arial"/>
          <w:sz w:val="20"/>
          <w:szCs w:val="20"/>
        </w:rPr>
        <w:t>alúmen</w:t>
      </w:r>
      <w:r w:rsidR="00286CD7">
        <w:rPr>
          <w:rFonts w:ascii="Arial" w:hAnsi="Arial" w:cs="Arial"/>
          <w:sz w:val="20"/>
          <w:szCs w:val="20"/>
        </w:rPr>
        <w:t xml:space="preserve">. Nesta forma, </w:t>
      </w:r>
      <w:r w:rsidR="008A4C7E" w:rsidRPr="00DE19A4">
        <w:rPr>
          <w:rFonts w:ascii="Arial" w:hAnsi="Arial" w:cs="Arial"/>
          <w:sz w:val="20"/>
          <w:szCs w:val="20"/>
        </w:rPr>
        <w:t>prepar</w:t>
      </w:r>
      <w:r w:rsidR="00BC5075">
        <w:rPr>
          <w:rFonts w:ascii="Arial" w:hAnsi="Arial" w:cs="Arial"/>
          <w:sz w:val="20"/>
          <w:szCs w:val="20"/>
        </w:rPr>
        <w:t xml:space="preserve">ou-se o alúmen de potássio </w:t>
      </w:r>
      <w:r w:rsidR="0099532F" w:rsidRPr="00DE19A4">
        <w:rPr>
          <w:rFonts w:ascii="Arial" w:hAnsi="Arial" w:cs="Arial"/>
          <w:sz w:val="20"/>
          <w:szCs w:val="20"/>
        </w:rPr>
        <w:t>a partir de materiais com</w:t>
      </w:r>
      <w:r>
        <w:rPr>
          <w:rFonts w:ascii="Arial" w:hAnsi="Arial" w:cs="Arial"/>
          <w:sz w:val="20"/>
          <w:szCs w:val="20"/>
        </w:rPr>
        <w:t>o</w:t>
      </w:r>
      <w:r w:rsidR="0099532F" w:rsidRPr="00DE19A4">
        <w:rPr>
          <w:rFonts w:ascii="Arial" w:hAnsi="Arial" w:cs="Arial"/>
          <w:sz w:val="20"/>
          <w:szCs w:val="20"/>
        </w:rPr>
        <w:t xml:space="preserve"> </w:t>
      </w:r>
      <w:r w:rsidR="00BC5075">
        <w:rPr>
          <w:rFonts w:ascii="Arial" w:hAnsi="Arial" w:cs="Arial"/>
          <w:sz w:val="20"/>
          <w:szCs w:val="20"/>
        </w:rPr>
        <w:t>latas de alumínio, hidróxido de potássio e ácido sulfúrico</w:t>
      </w:r>
      <w:r w:rsidR="0069450D">
        <w:rPr>
          <w:rFonts w:ascii="Arial" w:hAnsi="Arial" w:cs="Arial"/>
          <w:sz w:val="20"/>
          <w:szCs w:val="20"/>
        </w:rPr>
        <w:t xml:space="preserve">. </w:t>
      </w:r>
      <w:r w:rsidR="00286CD7">
        <w:rPr>
          <w:rFonts w:ascii="Arial" w:hAnsi="Arial" w:cs="Arial"/>
          <w:sz w:val="20"/>
          <w:szCs w:val="20"/>
        </w:rPr>
        <w:t xml:space="preserve">Além das latas, foram testadas </w:t>
      </w:r>
      <w:r w:rsidR="009F7C7E">
        <w:rPr>
          <w:rFonts w:ascii="Arial" w:hAnsi="Arial" w:cs="Arial"/>
          <w:sz w:val="20"/>
          <w:szCs w:val="20"/>
        </w:rPr>
        <w:t xml:space="preserve">outras fontes como </w:t>
      </w:r>
      <w:r w:rsidR="00286CD7">
        <w:rPr>
          <w:rFonts w:ascii="Arial" w:hAnsi="Arial" w:cs="Arial"/>
          <w:sz w:val="20"/>
          <w:szCs w:val="20"/>
        </w:rPr>
        <w:t>papel e embalagens</w:t>
      </w:r>
      <w:r w:rsidR="00286CD7" w:rsidRPr="00286CD7">
        <w:rPr>
          <w:rFonts w:ascii="Arial" w:hAnsi="Arial" w:cs="Arial"/>
          <w:sz w:val="20"/>
          <w:szCs w:val="20"/>
        </w:rPr>
        <w:t xml:space="preserve"> </w:t>
      </w:r>
      <w:r w:rsidR="00286CD7">
        <w:rPr>
          <w:rFonts w:ascii="Arial" w:hAnsi="Arial" w:cs="Arial"/>
          <w:sz w:val="20"/>
          <w:szCs w:val="20"/>
        </w:rPr>
        <w:t xml:space="preserve">de alumínio. </w:t>
      </w:r>
      <w:r>
        <w:rPr>
          <w:rFonts w:ascii="Arial" w:hAnsi="Arial" w:cs="Arial"/>
          <w:sz w:val="20"/>
          <w:szCs w:val="20"/>
        </w:rPr>
        <w:t xml:space="preserve">O experimento foi testado diversas vezes e as etapas documentadas através de registro fotográfico. </w:t>
      </w:r>
      <w:r w:rsidR="00286CD7">
        <w:rPr>
          <w:rFonts w:ascii="Arial" w:hAnsi="Arial" w:cs="Arial"/>
          <w:sz w:val="20"/>
          <w:szCs w:val="20"/>
        </w:rPr>
        <w:t xml:space="preserve">Verificou-se </w:t>
      </w:r>
      <w:r w:rsidR="009F7C7E">
        <w:rPr>
          <w:rFonts w:ascii="Arial" w:hAnsi="Arial" w:cs="Arial"/>
          <w:sz w:val="20"/>
          <w:szCs w:val="20"/>
        </w:rPr>
        <w:t xml:space="preserve">que </w:t>
      </w:r>
      <w:r w:rsidR="00286CD7">
        <w:rPr>
          <w:rFonts w:ascii="Arial" w:hAnsi="Arial" w:cs="Arial"/>
          <w:sz w:val="20"/>
          <w:szCs w:val="20"/>
        </w:rPr>
        <w:t xml:space="preserve">as latas de alumínio não forneceram um bom rendimento porque a </w:t>
      </w:r>
      <w:r w:rsidR="009F7C7E">
        <w:rPr>
          <w:rFonts w:ascii="Arial" w:hAnsi="Arial" w:cs="Arial"/>
          <w:sz w:val="20"/>
          <w:szCs w:val="20"/>
        </w:rPr>
        <w:t xml:space="preserve">sua </w:t>
      </w:r>
      <w:r w:rsidR="00286CD7">
        <w:rPr>
          <w:rFonts w:ascii="Arial" w:hAnsi="Arial" w:cs="Arial"/>
          <w:sz w:val="20"/>
          <w:szCs w:val="20"/>
        </w:rPr>
        <w:t>composição tem sido alterada</w:t>
      </w:r>
      <w:r w:rsidR="009F7C7E">
        <w:rPr>
          <w:rFonts w:ascii="Arial" w:hAnsi="Arial" w:cs="Arial"/>
          <w:sz w:val="20"/>
          <w:szCs w:val="20"/>
        </w:rPr>
        <w:t xml:space="preserve"> com introdução de outros elementos químicos</w:t>
      </w:r>
      <w:r w:rsidR="00286CD7">
        <w:rPr>
          <w:rFonts w:ascii="Arial" w:hAnsi="Arial" w:cs="Arial"/>
          <w:sz w:val="20"/>
          <w:szCs w:val="20"/>
        </w:rPr>
        <w:t xml:space="preserve">. No entanto, quando se fez uso do papel alumínio e embalagens, o rendimento foi satisfatório dentro do que está descrito na literatura. </w:t>
      </w:r>
      <w:r w:rsidR="0099532F" w:rsidRPr="00DE19A4">
        <w:rPr>
          <w:rFonts w:ascii="Arial" w:hAnsi="Arial" w:cs="Arial"/>
          <w:sz w:val="20"/>
          <w:szCs w:val="20"/>
        </w:rPr>
        <w:t>A preparação</w:t>
      </w:r>
      <w:r w:rsidR="00286CD7">
        <w:rPr>
          <w:rFonts w:ascii="Arial" w:hAnsi="Arial" w:cs="Arial"/>
          <w:sz w:val="20"/>
          <w:szCs w:val="20"/>
        </w:rPr>
        <w:t>, portanto, do alúmen de potássio</w:t>
      </w:r>
      <w:r w:rsidR="0099532F" w:rsidRPr="00DE19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apresentou-se</w:t>
      </w:r>
      <w:r w:rsidR="008A4C7E" w:rsidRPr="00DE19A4">
        <w:rPr>
          <w:rFonts w:ascii="Arial" w:hAnsi="Arial" w:cs="Arial"/>
          <w:sz w:val="20"/>
          <w:szCs w:val="20"/>
        </w:rPr>
        <w:t xml:space="preserve"> como um experimento de b</w:t>
      </w:r>
      <w:r>
        <w:rPr>
          <w:rFonts w:ascii="Arial" w:hAnsi="Arial" w:cs="Arial"/>
          <w:sz w:val="20"/>
          <w:szCs w:val="20"/>
        </w:rPr>
        <w:t xml:space="preserve">aixíssimo custo e </w:t>
      </w:r>
      <w:r w:rsidR="008A4C7E" w:rsidRPr="00DE19A4">
        <w:rPr>
          <w:rFonts w:ascii="Arial" w:hAnsi="Arial" w:cs="Arial"/>
          <w:sz w:val="20"/>
          <w:szCs w:val="20"/>
        </w:rPr>
        <w:t>abrange</w:t>
      </w:r>
      <w:r w:rsidR="00BC5075">
        <w:rPr>
          <w:rFonts w:ascii="Arial" w:hAnsi="Arial" w:cs="Arial"/>
          <w:sz w:val="20"/>
          <w:szCs w:val="20"/>
        </w:rPr>
        <w:t>u</w:t>
      </w:r>
      <w:r w:rsidR="008A4C7E" w:rsidRPr="00DE19A4">
        <w:rPr>
          <w:rFonts w:ascii="Arial" w:hAnsi="Arial" w:cs="Arial"/>
          <w:sz w:val="20"/>
          <w:szCs w:val="20"/>
        </w:rPr>
        <w:t xml:space="preserve"> conteúdo</w:t>
      </w:r>
      <w:r w:rsidR="00BC5075">
        <w:rPr>
          <w:rFonts w:ascii="Arial" w:hAnsi="Arial" w:cs="Arial"/>
          <w:sz w:val="20"/>
          <w:szCs w:val="20"/>
        </w:rPr>
        <w:t xml:space="preserve">s básicos importantes </w:t>
      </w:r>
      <w:r>
        <w:rPr>
          <w:rFonts w:ascii="Arial" w:hAnsi="Arial" w:cs="Arial"/>
          <w:sz w:val="20"/>
          <w:szCs w:val="20"/>
        </w:rPr>
        <w:t xml:space="preserve">tanto do ponto de vista </w:t>
      </w:r>
      <w:r w:rsidR="00BC5075">
        <w:rPr>
          <w:rFonts w:ascii="Arial" w:hAnsi="Arial" w:cs="Arial"/>
          <w:sz w:val="20"/>
          <w:szCs w:val="20"/>
        </w:rPr>
        <w:t>teórico</w:t>
      </w:r>
      <w:r>
        <w:rPr>
          <w:rFonts w:ascii="Arial" w:hAnsi="Arial" w:cs="Arial"/>
          <w:sz w:val="20"/>
          <w:szCs w:val="20"/>
        </w:rPr>
        <w:t xml:space="preserve"> como experimental</w:t>
      </w:r>
      <w:r w:rsidRPr="008620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enfatizando as </w:t>
      </w:r>
      <w:r w:rsidRPr="00DE19A4">
        <w:rPr>
          <w:rFonts w:ascii="Arial" w:hAnsi="Arial" w:cs="Arial"/>
          <w:sz w:val="20"/>
          <w:szCs w:val="20"/>
        </w:rPr>
        <w:t>técnicas de laboratório</w:t>
      </w:r>
      <w:r>
        <w:rPr>
          <w:rFonts w:ascii="Arial" w:hAnsi="Arial" w:cs="Arial"/>
          <w:sz w:val="20"/>
          <w:szCs w:val="20"/>
        </w:rPr>
        <w:t xml:space="preserve">. Entre os </w:t>
      </w:r>
      <w:r>
        <w:rPr>
          <w:rFonts w:ascii="Arial" w:hAnsi="Arial" w:cs="Arial"/>
          <w:sz w:val="20"/>
          <w:szCs w:val="20"/>
        </w:rPr>
        <w:lastRenderedPageBreak/>
        <w:t>assuntos/procedimentos que foram explorados estão</w:t>
      </w:r>
      <w:r w:rsidR="008A4C7E" w:rsidRPr="00DE19A4">
        <w:rPr>
          <w:rFonts w:ascii="Arial" w:hAnsi="Arial" w:cs="Arial"/>
          <w:sz w:val="20"/>
          <w:szCs w:val="20"/>
        </w:rPr>
        <w:t xml:space="preserve"> (1) utilização da balança, (2) </w:t>
      </w:r>
      <w:r w:rsidR="00862F9A" w:rsidRPr="00DE19A4">
        <w:rPr>
          <w:rFonts w:ascii="Arial" w:hAnsi="Arial" w:cs="Arial"/>
          <w:sz w:val="20"/>
          <w:szCs w:val="20"/>
        </w:rPr>
        <w:t>filtração simples e a vácuo</w:t>
      </w:r>
      <w:r w:rsidR="008A4C7E" w:rsidRPr="00DE19A4">
        <w:rPr>
          <w:rFonts w:ascii="Arial" w:hAnsi="Arial" w:cs="Arial"/>
          <w:sz w:val="20"/>
          <w:szCs w:val="20"/>
        </w:rPr>
        <w:t xml:space="preserve">, (3) </w:t>
      </w:r>
      <w:r w:rsidR="00BC5075">
        <w:rPr>
          <w:rFonts w:ascii="Arial" w:hAnsi="Arial" w:cs="Arial"/>
          <w:sz w:val="20"/>
          <w:szCs w:val="20"/>
        </w:rPr>
        <w:t>cristalização,</w:t>
      </w:r>
      <w:r w:rsidR="00BC5075" w:rsidRPr="00DE19A4">
        <w:rPr>
          <w:rFonts w:ascii="Arial" w:hAnsi="Arial" w:cs="Arial"/>
          <w:sz w:val="20"/>
          <w:szCs w:val="20"/>
        </w:rPr>
        <w:t xml:space="preserve"> </w:t>
      </w:r>
      <w:r w:rsidR="008A4C7E" w:rsidRPr="00DE19A4">
        <w:rPr>
          <w:rFonts w:ascii="Arial" w:hAnsi="Arial" w:cs="Arial"/>
          <w:sz w:val="20"/>
          <w:szCs w:val="20"/>
        </w:rPr>
        <w:t>(4) rendimento de uma reação, (5)</w:t>
      </w:r>
      <w:r w:rsidR="00BC5075">
        <w:rPr>
          <w:rFonts w:ascii="Arial" w:hAnsi="Arial" w:cs="Arial"/>
          <w:sz w:val="20"/>
          <w:szCs w:val="20"/>
        </w:rPr>
        <w:t xml:space="preserve"> preparo de soluções</w:t>
      </w:r>
      <w:r w:rsidR="0069450D">
        <w:rPr>
          <w:rFonts w:ascii="Arial" w:hAnsi="Arial" w:cs="Arial"/>
          <w:sz w:val="20"/>
          <w:szCs w:val="20"/>
        </w:rPr>
        <w:t xml:space="preserve">, (6) </w:t>
      </w:r>
      <w:r w:rsidR="00BC5075" w:rsidRPr="00DE19A4">
        <w:rPr>
          <w:rFonts w:ascii="Arial" w:hAnsi="Arial" w:cs="Arial"/>
          <w:sz w:val="20"/>
          <w:szCs w:val="20"/>
        </w:rPr>
        <w:t>reações químicas</w:t>
      </w:r>
      <w:r w:rsidR="00BC5075">
        <w:rPr>
          <w:rFonts w:ascii="Arial" w:hAnsi="Arial" w:cs="Arial"/>
          <w:sz w:val="20"/>
          <w:szCs w:val="20"/>
        </w:rPr>
        <w:t xml:space="preserve"> </w:t>
      </w:r>
      <w:r w:rsidR="0069450D">
        <w:rPr>
          <w:rFonts w:ascii="Arial" w:hAnsi="Arial" w:cs="Arial"/>
          <w:sz w:val="20"/>
          <w:szCs w:val="20"/>
        </w:rPr>
        <w:t xml:space="preserve">e (7) </w:t>
      </w:r>
      <w:r w:rsidR="00BC5075">
        <w:rPr>
          <w:rFonts w:ascii="Arial" w:hAnsi="Arial" w:cs="Arial"/>
          <w:sz w:val="20"/>
          <w:szCs w:val="20"/>
        </w:rPr>
        <w:t xml:space="preserve">reações de </w:t>
      </w:r>
      <w:r w:rsidR="0069450D">
        <w:rPr>
          <w:rFonts w:ascii="Arial" w:hAnsi="Arial" w:cs="Arial"/>
          <w:sz w:val="20"/>
          <w:szCs w:val="20"/>
        </w:rPr>
        <w:t>oxi-redução</w:t>
      </w:r>
      <w:r w:rsidR="00BC5075">
        <w:rPr>
          <w:rFonts w:ascii="Arial" w:hAnsi="Arial" w:cs="Arial"/>
          <w:sz w:val="20"/>
          <w:szCs w:val="20"/>
        </w:rPr>
        <w:t>, entre outros</w:t>
      </w:r>
      <w:r w:rsidR="006945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Desta forma, dada ao sucesso da proposta desenvolvida</w:t>
      </w:r>
      <w:r w:rsidR="0087297D">
        <w:rPr>
          <w:rFonts w:ascii="Arial" w:hAnsi="Arial" w:cs="Arial"/>
          <w:sz w:val="20"/>
          <w:szCs w:val="20"/>
        </w:rPr>
        <w:t xml:space="preserve"> e sua ênfase com os princípios da </w:t>
      </w:r>
      <w:r w:rsidR="00384347">
        <w:rPr>
          <w:rFonts w:ascii="Arial" w:hAnsi="Arial" w:cs="Arial"/>
          <w:sz w:val="20"/>
          <w:szCs w:val="20"/>
        </w:rPr>
        <w:t>Q</w:t>
      </w:r>
      <w:r w:rsidR="0087297D">
        <w:rPr>
          <w:rFonts w:ascii="Arial" w:hAnsi="Arial" w:cs="Arial"/>
          <w:sz w:val="20"/>
          <w:szCs w:val="20"/>
        </w:rPr>
        <w:t xml:space="preserve">uímica </w:t>
      </w:r>
      <w:r w:rsidR="00384347">
        <w:rPr>
          <w:rFonts w:ascii="Arial" w:hAnsi="Arial" w:cs="Arial"/>
          <w:sz w:val="20"/>
          <w:szCs w:val="20"/>
        </w:rPr>
        <w:t>V</w:t>
      </w:r>
      <w:r w:rsidR="0087297D">
        <w:rPr>
          <w:rFonts w:ascii="Arial" w:hAnsi="Arial" w:cs="Arial"/>
          <w:sz w:val="20"/>
          <w:szCs w:val="20"/>
        </w:rPr>
        <w:t>erde</w:t>
      </w:r>
      <w:r>
        <w:rPr>
          <w:rFonts w:ascii="Arial" w:hAnsi="Arial" w:cs="Arial"/>
          <w:sz w:val="20"/>
          <w:szCs w:val="20"/>
        </w:rPr>
        <w:t>, sugeriu-se a sua implantação n</w:t>
      </w:r>
      <w:r w:rsidR="00E92FE7">
        <w:rPr>
          <w:rFonts w:ascii="Arial" w:hAnsi="Arial" w:cs="Arial"/>
          <w:sz w:val="20"/>
          <w:szCs w:val="20"/>
        </w:rPr>
        <w:t xml:space="preserve">a disciplina </w:t>
      </w:r>
      <w:r>
        <w:rPr>
          <w:rFonts w:ascii="Arial" w:hAnsi="Arial" w:cs="Arial"/>
          <w:sz w:val="20"/>
          <w:szCs w:val="20"/>
        </w:rPr>
        <w:t>de química básica experimental</w:t>
      </w:r>
      <w:r w:rsidR="00384347">
        <w:rPr>
          <w:rFonts w:ascii="Arial" w:hAnsi="Arial" w:cs="Arial"/>
          <w:sz w:val="20"/>
          <w:szCs w:val="20"/>
        </w:rPr>
        <w:t xml:space="preserve"> a partir do próximo semestre. </w:t>
      </w:r>
    </w:p>
    <w:p w:rsidR="008A4C7E" w:rsidRPr="00DE19A4" w:rsidRDefault="008A4C7E" w:rsidP="00FA71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46BE" w:rsidRPr="00DE19A4" w:rsidRDefault="00C246BE" w:rsidP="00FA71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19A4" w:rsidRDefault="00DE19A4" w:rsidP="00FA7103">
      <w:pPr>
        <w:spacing w:line="360" w:lineRule="auto"/>
        <w:jc w:val="center"/>
        <w:rPr>
          <w:rFonts w:ascii="Arial" w:hAnsi="Arial" w:cs="Arial"/>
          <w:sz w:val="20"/>
          <w:szCs w:val="20"/>
        </w:rPr>
        <w:sectPr w:rsidR="00DE19A4" w:rsidSect="00FA7103">
          <w:headerReference w:type="even" r:id="rId10"/>
          <w:type w:val="continuous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:rsidR="007C6719" w:rsidRPr="00DE19A4" w:rsidRDefault="007C6719" w:rsidP="00FA710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7C6719" w:rsidRPr="00DE19A4" w:rsidSect="00FA7103">
      <w:type w:val="continuous"/>
      <w:pgSz w:w="11906" w:h="16838"/>
      <w:pgMar w:top="1417" w:right="1701" w:bottom="1417" w:left="1701" w:header="708" w:footer="708" w:gutter="0"/>
      <w:cols w:num="2" w:space="708" w:equalWidth="0">
        <w:col w:w="4239" w:space="360"/>
        <w:col w:w="39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18" w:rsidRDefault="00BF2B18">
      <w:r>
        <w:separator/>
      </w:r>
    </w:p>
  </w:endnote>
  <w:endnote w:type="continuationSeparator" w:id="1">
    <w:p w:rsidR="00BF2B18" w:rsidRDefault="00BF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B3" w:rsidRDefault="00732F61" w:rsidP="001A5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A5FB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5FB3" w:rsidRDefault="001A5FB3" w:rsidP="001A5FB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B3" w:rsidRDefault="001A5FB3" w:rsidP="001A5FB3">
    <w:pPr>
      <w:pStyle w:val="Rodap"/>
      <w:framePr w:wrap="around" w:vAnchor="text" w:hAnchor="margin" w:xAlign="center" w:y="1"/>
      <w:rPr>
        <w:rStyle w:val="Nmerodepgina"/>
      </w:rPr>
    </w:pPr>
  </w:p>
  <w:p w:rsidR="00AD2D99" w:rsidRPr="00FA7103" w:rsidRDefault="00AD2D99" w:rsidP="001A5FB3">
    <w:pPr>
      <w:pStyle w:val="Rodap"/>
      <w:ind w:right="360"/>
      <w:rPr>
        <w:rFonts w:ascii="Arial" w:hAnsi="Arial" w:cs="Arial"/>
        <w:sz w:val="20"/>
        <w:vertAlign w:val="superscript"/>
      </w:rPr>
    </w:pPr>
    <w:r w:rsidRPr="00FA7103">
      <w:rPr>
        <w:rFonts w:ascii="Arial" w:hAnsi="Arial" w:cs="Arial"/>
        <w:sz w:val="20"/>
        <w:vertAlign w:val="superscript"/>
      </w:rPr>
      <w:t>___________________</w:t>
    </w:r>
  </w:p>
  <w:p w:rsidR="00AD2D99" w:rsidRPr="00FA7103" w:rsidRDefault="00AD2D99" w:rsidP="001A5FB3">
    <w:pPr>
      <w:pStyle w:val="Rodap"/>
      <w:ind w:right="360"/>
      <w:rPr>
        <w:rFonts w:ascii="Arial" w:hAnsi="Arial" w:cs="Arial"/>
        <w:sz w:val="20"/>
      </w:rPr>
    </w:pPr>
    <w:r w:rsidRPr="00FA7103">
      <w:rPr>
        <w:rFonts w:ascii="Arial" w:hAnsi="Arial" w:cs="Arial"/>
        <w:sz w:val="20"/>
        <w:vertAlign w:val="superscript"/>
      </w:rPr>
      <w:t>1</w:t>
    </w:r>
    <w:r w:rsidRPr="00FA7103">
      <w:rPr>
        <w:rFonts w:ascii="Arial" w:hAnsi="Arial" w:cs="Arial"/>
        <w:sz w:val="20"/>
      </w:rPr>
      <w:t xml:space="preserve">Monitor </w:t>
    </w:r>
  </w:p>
  <w:p w:rsidR="00AD2D99" w:rsidRPr="00FA7103" w:rsidRDefault="00AD2D99" w:rsidP="001A5FB3">
    <w:pPr>
      <w:pStyle w:val="Rodap"/>
      <w:ind w:right="360"/>
      <w:rPr>
        <w:rFonts w:ascii="Arial" w:hAnsi="Arial" w:cs="Arial"/>
        <w:sz w:val="20"/>
      </w:rPr>
    </w:pPr>
    <w:r w:rsidRPr="00FA7103">
      <w:rPr>
        <w:rFonts w:ascii="Arial" w:hAnsi="Arial" w:cs="Arial"/>
        <w:sz w:val="20"/>
        <w:vertAlign w:val="superscript"/>
      </w:rPr>
      <w:t>2</w:t>
    </w:r>
    <w:r w:rsidRPr="00FA7103">
      <w:rPr>
        <w:rFonts w:ascii="Arial" w:hAnsi="Arial" w:cs="Arial"/>
        <w:sz w:val="20"/>
      </w:rPr>
      <w:t xml:space="preserve">Orientador  </w:t>
    </w:r>
  </w:p>
  <w:p w:rsidR="001A5FB3" w:rsidRPr="00FA7103" w:rsidRDefault="00AD2D99" w:rsidP="001A5FB3">
    <w:pPr>
      <w:pStyle w:val="Rodap"/>
      <w:ind w:right="360"/>
      <w:rPr>
        <w:rFonts w:ascii="Arial" w:hAnsi="Arial" w:cs="Arial"/>
        <w:sz w:val="20"/>
      </w:rPr>
    </w:pPr>
    <w:r w:rsidRPr="00FA7103">
      <w:rPr>
        <w:rFonts w:ascii="Arial" w:hAnsi="Arial" w:cs="Arial"/>
        <w:sz w:val="20"/>
        <w:vertAlign w:val="superscript"/>
      </w:rPr>
      <w:t>3</w:t>
    </w:r>
    <w:r w:rsidRPr="00FA7103">
      <w:rPr>
        <w:rFonts w:ascii="Arial" w:hAnsi="Arial" w:cs="Arial"/>
        <w:sz w:val="20"/>
      </w:rPr>
      <w:t>Coordenador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18" w:rsidRDefault="00BF2B18">
      <w:r>
        <w:separator/>
      </w:r>
    </w:p>
  </w:footnote>
  <w:footnote w:type="continuationSeparator" w:id="1">
    <w:p w:rsidR="00BF2B18" w:rsidRDefault="00BF2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40" w:rsidRDefault="005D2140" w:rsidP="005D2140">
    <w:pPr>
      <w:pStyle w:val="Cabealho"/>
    </w:pPr>
    <w:r>
      <w:rPr>
        <w:rFonts w:ascii="Arial" w:hAnsi="Arial" w:cs="Arial"/>
        <w:b/>
        <w:bCs/>
        <w:color w:val="808080"/>
        <w:sz w:val="16"/>
        <w:u w:val="single"/>
      </w:rPr>
      <w:t>UFPB-PRG                                                                                                            XIII Encontro de Iniciação à Docência</w:t>
    </w:r>
  </w:p>
  <w:p w:rsidR="005D2140" w:rsidRDefault="005D2140">
    <w:pPr>
      <w:pStyle w:val="Cabealho"/>
    </w:pPr>
  </w:p>
  <w:p w:rsidR="005D2140" w:rsidRDefault="005D21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B3" w:rsidRDefault="001A5F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001AA"/>
    <w:multiLevelType w:val="hybridMultilevel"/>
    <w:tmpl w:val="01B28B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C7E"/>
    <w:rsid w:val="0001258C"/>
    <w:rsid w:val="000E250D"/>
    <w:rsid w:val="00121EE1"/>
    <w:rsid w:val="001527DE"/>
    <w:rsid w:val="0019030B"/>
    <w:rsid w:val="001A5FB3"/>
    <w:rsid w:val="00207551"/>
    <w:rsid w:val="00265F81"/>
    <w:rsid w:val="00277A3A"/>
    <w:rsid w:val="00286CD7"/>
    <w:rsid w:val="00353077"/>
    <w:rsid w:val="00356A36"/>
    <w:rsid w:val="00384347"/>
    <w:rsid w:val="00391ACD"/>
    <w:rsid w:val="003B7B73"/>
    <w:rsid w:val="003E0D3B"/>
    <w:rsid w:val="004024B0"/>
    <w:rsid w:val="004A08FE"/>
    <w:rsid w:val="004B7CFE"/>
    <w:rsid w:val="00520D49"/>
    <w:rsid w:val="00522DED"/>
    <w:rsid w:val="005D2140"/>
    <w:rsid w:val="005E714E"/>
    <w:rsid w:val="00637E51"/>
    <w:rsid w:val="0069450D"/>
    <w:rsid w:val="006F4FA9"/>
    <w:rsid w:val="007219FC"/>
    <w:rsid w:val="00732F61"/>
    <w:rsid w:val="007A67D5"/>
    <w:rsid w:val="007C6719"/>
    <w:rsid w:val="007D38C4"/>
    <w:rsid w:val="00855597"/>
    <w:rsid w:val="008620DA"/>
    <w:rsid w:val="00862F9A"/>
    <w:rsid w:val="0087297D"/>
    <w:rsid w:val="008A4C7E"/>
    <w:rsid w:val="00924DED"/>
    <w:rsid w:val="0099532F"/>
    <w:rsid w:val="009E668F"/>
    <w:rsid w:val="009F7C7E"/>
    <w:rsid w:val="00A16390"/>
    <w:rsid w:val="00A65811"/>
    <w:rsid w:val="00AD2D99"/>
    <w:rsid w:val="00AD3269"/>
    <w:rsid w:val="00AE3996"/>
    <w:rsid w:val="00AE758A"/>
    <w:rsid w:val="00BA6841"/>
    <w:rsid w:val="00BC5075"/>
    <w:rsid w:val="00BF2B18"/>
    <w:rsid w:val="00C246BE"/>
    <w:rsid w:val="00C364AC"/>
    <w:rsid w:val="00CA5B7E"/>
    <w:rsid w:val="00CC48B8"/>
    <w:rsid w:val="00CE138E"/>
    <w:rsid w:val="00D44894"/>
    <w:rsid w:val="00D54289"/>
    <w:rsid w:val="00DE19A4"/>
    <w:rsid w:val="00E217D9"/>
    <w:rsid w:val="00E92FE7"/>
    <w:rsid w:val="00EE7420"/>
    <w:rsid w:val="00F44935"/>
    <w:rsid w:val="00F45422"/>
    <w:rsid w:val="00FA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C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A4C7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A4C7E"/>
  </w:style>
  <w:style w:type="paragraph" w:styleId="Cabealho">
    <w:name w:val="header"/>
    <w:basedOn w:val="Normal"/>
    <w:link w:val="CabealhoChar"/>
    <w:uiPriority w:val="99"/>
    <w:rsid w:val="00AD2D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2D99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D2D99"/>
    <w:rPr>
      <w:sz w:val="24"/>
      <w:szCs w:val="24"/>
    </w:rPr>
  </w:style>
  <w:style w:type="paragraph" w:styleId="Textodebalo">
    <w:name w:val="Balloon Text"/>
    <w:basedOn w:val="Normal"/>
    <w:link w:val="TextodebaloChar"/>
    <w:rsid w:val="00AD2D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2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Obtenção do Sulfato Ferroso Heptahidratado (FeSO4</vt:lpstr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Obtenção do Sulfato Ferroso Heptahidratado (FeSO4</dc:title>
  <dc:subject/>
  <dc:creator>ANDERSON</dc:creator>
  <cp:keywords/>
  <dc:description/>
  <cp:lastModifiedBy>ilka</cp:lastModifiedBy>
  <cp:revision>3</cp:revision>
  <dcterms:created xsi:type="dcterms:W3CDTF">2010-10-08T17:51:00Z</dcterms:created>
  <dcterms:modified xsi:type="dcterms:W3CDTF">2010-10-22T18:27:00Z</dcterms:modified>
</cp:coreProperties>
</file>