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0E" w:rsidRDefault="00062A0E">
      <w:pPr>
        <w:pStyle w:val="Padro"/>
        <w:spacing w:after="0" w:line="360" w:lineRule="auto"/>
        <w:jc w:val="center"/>
      </w:pPr>
    </w:p>
    <w:p w:rsidR="00062A0E" w:rsidRDefault="001526BA">
      <w:pPr>
        <w:pStyle w:val="Padro"/>
        <w:spacing w:after="0" w:line="360" w:lineRule="auto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4CCAEDCSAPX01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-P</w:t>
      </w:r>
    </w:p>
    <w:p w:rsidR="00062A0E" w:rsidRDefault="001526BA">
      <w:pPr>
        <w:pStyle w:val="Padro"/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AVALIAÇÃO DA APLICABILIDADE DA EDUCAÇÃO AMBIENTAL </w:t>
      </w:r>
    </w:p>
    <w:p w:rsidR="00062A0E" w:rsidRDefault="001526BA">
      <w:pPr>
        <w:pStyle w:val="Padro"/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EM ESCOLAS PÚBLICAS DA CIDADE DE MAMANGUAPE/PB.</w:t>
      </w:r>
    </w:p>
    <w:p w:rsidR="00062A0E" w:rsidRDefault="001526BA">
      <w:pPr>
        <w:pStyle w:val="Padro"/>
        <w:spacing w:after="0" w:line="360" w:lineRule="auto"/>
        <w:jc w:val="center"/>
      </w:pPr>
      <w:r>
        <w:rPr>
          <w:rFonts w:ascii="Arial" w:hAnsi="Arial" w:cs="Arial"/>
          <w:sz w:val="20"/>
          <w:szCs w:val="20"/>
        </w:rPr>
        <w:t xml:space="preserve">Ana Maria Ferreira </w:t>
      </w:r>
      <w:proofErr w:type="gramStart"/>
      <w:r>
        <w:rPr>
          <w:rFonts w:ascii="Arial" w:hAnsi="Arial" w:cs="Arial"/>
          <w:sz w:val="20"/>
          <w:szCs w:val="20"/>
        </w:rPr>
        <w:t>Cosme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; Ana Claudia Ferreira Cosme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</w:t>
      </w:r>
      <w:r w:rsidR="00FE1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Eliane de Andrade Cordeiro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Saulo Emmanuel Vieira Maciel</w:t>
      </w:r>
      <w:r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.</w:t>
      </w:r>
    </w:p>
    <w:p w:rsidR="00062A0E" w:rsidRDefault="001526BA">
      <w:pPr>
        <w:pStyle w:val="Padro"/>
        <w:spacing w:after="0" w:line="360" w:lineRule="auto"/>
        <w:jc w:val="center"/>
      </w:pPr>
      <w:r>
        <w:rPr>
          <w:rFonts w:ascii="Arial" w:hAnsi="Arial" w:cs="Arial"/>
          <w:sz w:val="20"/>
          <w:szCs w:val="20"/>
        </w:rPr>
        <w:t xml:space="preserve">Centro de </w:t>
      </w:r>
      <w:r>
        <w:rPr>
          <w:rFonts w:ascii="Arial" w:hAnsi="Arial" w:cs="Arial"/>
          <w:sz w:val="20"/>
          <w:szCs w:val="20"/>
        </w:rPr>
        <w:t>Ciências Aplicadas e Educação/</w:t>
      </w:r>
      <w:r w:rsidR="00FE1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Departamento de Ciências Sociais Aplicadas/PROBEX</w:t>
      </w:r>
    </w:p>
    <w:p w:rsidR="00062A0E" w:rsidRDefault="00062A0E">
      <w:pPr>
        <w:pStyle w:val="Padro"/>
      </w:pPr>
    </w:p>
    <w:p w:rsidR="00062A0E" w:rsidRDefault="001526BA">
      <w:pPr>
        <w:pStyle w:val="Padro"/>
      </w:pPr>
      <w:r>
        <w:rPr>
          <w:rFonts w:ascii="Arial" w:hAnsi="Arial" w:cs="Arial"/>
          <w:b/>
          <w:sz w:val="20"/>
          <w:szCs w:val="20"/>
        </w:rPr>
        <w:t>RESUMO</w:t>
      </w:r>
    </w:p>
    <w:p w:rsidR="00062A0E" w:rsidRDefault="001526BA">
      <w:pPr>
        <w:spacing w:line="360" w:lineRule="auto"/>
        <w:jc w:val="both"/>
      </w:pPr>
      <w:r>
        <w:rPr>
          <w:sz w:val="20"/>
          <w:szCs w:val="20"/>
        </w:rPr>
        <w:t>O presente artigo partiu da observação dos acontecimentos que estão ocorrendo a nossa volta e das ações que, para muitos, são deixadas de lado, por não estarem tão pró</w:t>
      </w:r>
      <w:r>
        <w:rPr>
          <w:sz w:val="20"/>
          <w:szCs w:val="20"/>
        </w:rPr>
        <w:t xml:space="preserve">ximos à realidade da comunidade escolar da cidade de Mamanguape, uma vez que a questão da </w:t>
      </w:r>
      <w:proofErr w:type="gramStart"/>
      <w:r>
        <w:rPr>
          <w:sz w:val="20"/>
          <w:szCs w:val="20"/>
        </w:rPr>
        <w:t>aplicabilidade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da</w:t>
      </w:r>
      <w:proofErr w:type="gramEnd"/>
      <w:r>
        <w:rPr>
          <w:sz w:val="20"/>
          <w:szCs w:val="20"/>
        </w:rPr>
        <w:t xml:space="preserve"> educação ambiental é de responsabilidade de todos como sociedade, todas as organizações, entre outros que têm a responsabilidade de promover os obje</w:t>
      </w:r>
      <w:r>
        <w:rPr>
          <w:sz w:val="20"/>
          <w:szCs w:val="20"/>
        </w:rPr>
        <w:t>tivos da educação ambiental que são: consciência, conhecimento, comportamento, habilidades e participação. Partindo do exposto, surgiu o questionamento sobre como está sendo aplicada a educação ambiental na cidade de Mamanguape. Então, a partir deste probl</w:t>
      </w:r>
      <w:r>
        <w:rPr>
          <w:sz w:val="20"/>
          <w:szCs w:val="20"/>
        </w:rPr>
        <w:t>ema, desenvolvemos o nosso objetivo que é de verificar se a educação ambiental está sendo aplicada conforme a lei nº 9.795 nas escolas da cidade de Mamanguape/PB. Nesse sentido, obtivemos resultados que reforçam que a educação ambiental existe, mas pouco é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aplicada</w:t>
      </w:r>
      <w:proofErr w:type="gramEnd"/>
      <w:r>
        <w:rPr>
          <w:sz w:val="20"/>
          <w:szCs w:val="20"/>
        </w:rPr>
        <w:t xml:space="preserve"> pelas escolas, concluindo que a Lei 9.795 não está sendo devidamente seguida.</w:t>
      </w:r>
    </w:p>
    <w:p w:rsidR="00062A0E" w:rsidRDefault="00062A0E">
      <w:pPr>
        <w:pStyle w:val="Padro"/>
      </w:pPr>
    </w:p>
    <w:p w:rsidR="00062A0E" w:rsidRDefault="001526BA">
      <w:pPr>
        <w:pStyle w:val="Padro"/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Palavras-chave</w:t>
      </w:r>
      <w:r>
        <w:rPr>
          <w:rFonts w:ascii="Arial" w:eastAsia="Times New Roman" w:hAnsi="Arial" w:cs="Arial"/>
          <w:sz w:val="20"/>
          <w:szCs w:val="20"/>
          <w:lang w:eastAsia="pt-BR"/>
        </w:rPr>
        <w:t>: Aplicabilidade, Educação Ambiental, Comunidade Escolar.</w:t>
      </w:r>
    </w:p>
    <w:p w:rsidR="00062A0E" w:rsidRDefault="00062A0E">
      <w:pPr>
        <w:pStyle w:val="Padro"/>
      </w:pPr>
    </w:p>
    <w:p w:rsidR="00062A0E" w:rsidRDefault="001526BA">
      <w:pPr>
        <w:pStyle w:val="Padro"/>
      </w:pPr>
      <w:r>
        <w:rPr>
          <w:rFonts w:ascii="Arial" w:hAnsi="Arial" w:cs="Arial"/>
          <w:b/>
          <w:sz w:val="20"/>
          <w:szCs w:val="20"/>
        </w:rPr>
        <w:t>INTRODUÇÃO</w:t>
      </w:r>
    </w:p>
    <w:p w:rsidR="00062A0E" w:rsidRDefault="001526BA">
      <w:pPr>
        <w:pStyle w:val="Padro"/>
        <w:spacing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Temos observado que as questões ambientais estão tomando proporções cada vez maiore</w:t>
      </w:r>
      <w:r>
        <w:rPr>
          <w:rFonts w:ascii="Arial" w:hAnsi="Arial" w:cs="Arial"/>
          <w:sz w:val="20"/>
          <w:szCs w:val="20"/>
        </w:rPr>
        <w:t>s, será pelo fato de um aumento discreto na divulgação realizada pela mídia ou será por causa da realização de trabalhos envolvendo esta temática nas escolas.</w:t>
      </w: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As questões ambientais, na verdade, vêm sendo trabalhadas desde a década de 70, quando começaram 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ser</w:t>
      </w:r>
      <w:proofErr w:type="gramEnd"/>
      <w:r>
        <w:rPr>
          <w:rFonts w:ascii="Arial" w:hAnsi="Arial" w:cs="Arial"/>
          <w:sz w:val="20"/>
          <w:szCs w:val="20"/>
        </w:rPr>
        <w:t xml:space="preserve"> realizadas as convenções e os encontros que tentavam sensibilizar as pessoas para as questões ambientais, direcionando-as para a E. A. (educação ambiental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Style w:val="ncoradenotaderodap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lastRenderedPageBreak/>
        <w:t>Como foi o caso da conferência de Estocolmo, em 1972, a qual tinha como objetivo chamar a at</w:t>
      </w:r>
      <w:r>
        <w:rPr>
          <w:rFonts w:ascii="Arial" w:hAnsi="Arial" w:cs="Arial"/>
          <w:sz w:val="20"/>
          <w:szCs w:val="20"/>
        </w:rPr>
        <w:t>enção dos governos para a adoção de novas políticas ambientais, entre elas, Programa de educação Ambiental, com o intuito de educar o cidadão para tentar solucionar os problemas ambientais.</w:t>
      </w: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Outros como o encontro de Belgrado, em 1975, que criou o PIEA (Pro</w:t>
      </w:r>
      <w:r>
        <w:rPr>
          <w:rFonts w:ascii="Arial" w:hAnsi="Arial" w:cs="Arial"/>
          <w:sz w:val="20"/>
          <w:szCs w:val="20"/>
        </w:rPr>
        <w:t>grama Internacional de Educação Ambiental). Em 1985, o MEC (Ministério da Educação e Cultura) reforça a necessidade da inclusão de conteúdos ecológicos ao longo do processo de formação do ensino fundamental e médio; já em 1992, na cidade do Rio de Janeiro,</w:t>
      </w:r>
      <w:r>
        <w:rPr>
          <w:rFonts w:ascii="Arial" w:hAnsi="Arial" w:cs="Arial"/>
          <w:sz w:val="20"/>
          <w:szCs w:val="20"/>
        </w:rPr>
        <w:t xml:space="preserve"> foi realizada a ECO-92 ou RIO-92 que propunha compromissos específicos adotados, que incluem duas convenções, uma sobre mudanças do clima e outra sobre biodiversidade, e também uma declaração sobre florestas. Em 1999, o presidente da república o senhor Fe</w:t>
      </w:r>
      <w:r>
        <w:rPr>
          <w:rFonts w:ascii="Arial" w:hAnsi="Arial" w:cs="Arial"/>
          <w:sz w:val="20"/>
          <w:szCs w:val="20"/>
        </w:rPr>
        <w:t>rnando Henrique Cardoso sancionou a Lei nº 9.795 que dispõe sobre a educação ambiental, institui a política nacional de educação ambiental, no qual um dos objetivos é ajudar os grupos sociais e os indivíduos a adquirirem consciência do meio ambiente global</w:t>
      </w:r>
      <w:r>
        <w:rPr>
          <w:rFonts w:ascii="Arial" w:hAnsi="Arial" w:cs="Arial"/>
          <w:sz w:val="20"/>
          <w:szCs w:val="20"/>
        </w:rPr>
        <w:t xml:space="preserve"> e ajudar-lhes a sensibilizarem-se por essas questões. </w:t>
      </w: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Em 2002, a Cúpula Mundial de Johanesburgo, tiveram como um dos pontos tratados a educação ambiental que deixa de ser vista como um estudo ecológico para ser um estudo que está relacionado com a qualid</w:t>
      </w:r>
      <w:r>
        <w:rPr>
          <w:rFonts w:ascii="Arial" w:hAnsi="Arial" w:cs="Arial"/>
          <w:sz w:val="20"/>
          <w:szCs w:val="20"/>
        </w:rPr>
        <w:t>ade de vida dos indivíduos, enfocando os problemas de ordem social, política, econômica, cultural e tecnológica.</w:t>
      </w: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Para muitos pensadores, as preocupações com o meio ambiente demoraram a ser repassadas para a população, que se encontrava no meio da uma enorm</w:t>
      </w:r>
      <w:r>
        <w:rPr>
          <w:rFonts w:ascii="Arial" w:hAnsi="Arial" w:cs="Arial"/>
          <w:sz w:val="20"/>
          <w:szCs w:val="20"/>
        </w:rPr>
        <w:t>e desordem ambiental.</w:t>
      </w: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Observamos que, após a sanção da Lei 9.795, em abril de 1999, a educação ambiental era confundida com outras questões de cunho ecológico. E encontrava diversos obstáculos no que diz respeito a sua aplicação. Acredita-se que, por motiv</w:t>
      </w:r>
      <w:r>
        <w:rPr>
          <w:rFonts w:ascii="Arial" w:hAnsi="Arial" w:cs="Arial"/>
          <w:sz w:val="20"/>
          <w:szCs w:val="20"/>
        </w:rPr>
        <w:t>os de pouco esclarecimento sobre o assunto, dificultando a aplicação da E. A., como é exigida.</w:t>
      </w:r>
    </w:p>
    <w:p w:rsidR="00062A0E" w:rsidRDefault="00062A0E">
      <w:pPr>
        <w:pStyle w:val="Padro"/>
        <w:spacing w:after="0" w:line="360" w:lineRule="auto"/>
        <w:ind w:firstLine="708"/>
        <w:jc w:val="both"/>
      </w:pPr>
    </w:p>
    <w:p w:rsidR="00062A0E" w:rsidRDefault="001526BA">
      <w:pPr>
        <w:pStyle w:val="Padro"/>
        <w:spacing w:after="0" w:line="100" w:lineRule="atLeast"/>
        <w:ind w:left="2268"/>
        <w:jc w:val="both"/>
      </w:pPr>
      <w:r>
        <w:rPr>
          <w:rFonts w:ascii="Arial" w:hAnsi="Arial" w:cs="Arial"/>
          <w:sz w:val="18"/>
          <w:szCs w:val="18"/>
        </w:rPr>
        <w:t xml:space="preserve">Ainda segundo a lei, todos têm direito à E. A., e é obrigação do poder público definir políticas públicas que incorporem dimensão ambiental; promover E. A. em </w:t>
      </w:r>
      <w:r>
        <w:rPr>
          <w:rFonts w:ascii="Arial" w:hAnsi="Arial" w:cs="Arial"/>
          <w:sz w:val="18"/>
          <w:szCs w:val="18"/>
        </w:rPr>
        <w:t xml:space="preserve">todos os níveis de ensino – promover o engajamento da sociedade na conservação, recuperação e na melhoria do meio ambiente. </w:t>
      </w:r>
      <w:proofErr w:type="gramStart"/>
      <w:r>
        <w:rPr>
          <w:rFonts w:ascii="Arial" w:hAnsi="Arial" w:cs="Arial"/>
          <w:sz w:val="18"/>
          <w:szCs w:val="18"/>
        </w:rPr>
        <w:t>É</w:t>
      </w:r>
      <w:proofErr w:type="gramEnd"/>
      <w:r>
        <w:rPr>
          <w:rFonts w:ascii="Arial" w:hAnsi="Arial" w:cs="Arial"/>
          <w:sz w:val="18"/>
          <w:szCs w:val="18"/>
        </w:rPr>
        <w:t xml:space="preserve"> de responsabilidade de empresas, instituições públicas e privadas que devem promover programas para capacitação dos trabalhadores,</w:t>
      </w:r>
      <w:r>
        <w:rPr>
          <w:rFonts w:ascii="Arial" w:hAnsi="Arial" w:cs="Arial"/>
          <w:sz w:val="18"/>
          <w:szCs w:val="18"/>
        </w:rPr>
        <w:t xml:space="preserve"> para melhorar o controle sobre o ambiente de trabalho, e controlar impactos do processo promovido no meio ambiente. (Lei 9.795 apud MANFREDINE, 2009</w:t>
      </w:r>
      <w:proofErr w:type="gramStart"/>
      <w:r>
        <w:rPr>
          <w:rFonts w:ascii="Arial" w:hAnsi="Arial" w:cs="Arial"/>
          <w:sz w:val="18"/>
          <w:szCs w:val="18"/>
        </w:rPr>
        <w:t>)</w:t>
      </w:r>
      <w:proofErr w:type="gramEnd"/>
    </w:p>
    <w:p w:rsidR="00062A0E" w:rsidRDefault="00062A0E">
      <w:pPr>
        <w:pStyle w:val="Padro"/>
        <w:spacing w:after="0" w:line="360" w:lineRule="auto"/>
        <w:ind w:left="2268" w:hanging="1"/>
        <w:jc w:val="both"/>
      </w:pPr>
    </w:p>
    <w:p w:rsidR="00062A0E" w:rsidRDefault="001526BA">
      <w:pPr>
        <w:spacing w:line="360" w:lineRule="auto"/>
        <w:jc w:val="both"/>
      </w:pPr>
      <w:r>
        <w:rPr>
          <w:sz w:val="20"/>
          <w:szCs w:val="20"/>
        </w:rPr>
        <w:lastRenderedPageBreak/>
        <w:tab/>
        <w:t>A questão da aplicabilidade</w:t>
      </w:r>
      <w:r>
        <w:rPr>
          <w:rStyle w:val="ncoradenotaderodap"/>
        </w:rPr>
        <w:footnoteReference w:id="2"/>
      </w:r>
      <w:r>
        <w:rPr>
          <w:sz w:val="20"/>
          <w:szCs w:val="20"/>
        </w:rPr>
        <w:t xml:space="preserve"> da E. A. é de responsabilidade de todos como sociedade, todas as instituiç</w:t>
      </w:r>
      <w:r>
        <w:rPr>
          <w:sz w:val="20"/>
          <w:szCs w:val="20"/>
        </w:rPr>
        <w:t>ões, empresas, entre outros que têm a responsabilidade de promover os objetivos da E. A., que são: consciência, conhecimento, comportamento, habilidades e participação.</w:t>
      </w:r>
    </w:p>
    <w:p w:rsidR="00062A0E" w:rsidRDefault="001526BA">
      <w:pPr>
        <w:spacing w:line="360" w:lineRule="auto"/>
        <w:jc w:val="both"/>
      </w:pPr>
      <w:r>
        <w:rPr>
          <w:sz w:val="20"/>
          <w:szCs w:val="20"/>
        </w:rPr>
        <w:tab/>
        <w:t xml:space="preserve">Sabemos que a aplicabilidade da E. A. é muito dependente do educador, pois ele será o </w:t>
      </w:r>
      <w:r>
        <w:rPr>
          <w:sz w:val="20"/>
          <w:szCs w:val="20"/>
        </w:rPr>
        <w:t>transmissor e incentivador na propagação e busca de novos conhecimentos, pois o educador tem que estimular seus alunos a pensarem sobre a complexidade das questões ambientais dentro de um contexto social, cultural e econômico, buscando a cooperação dos alu</w:t>
      </w:r>
      <w:r>
        <w:rPr>
          <w:sz w:val="20"/>
          <w:szCs w:val="20"/>
        </w:rPr>
        <w:t>nos de forma individual ou coletiva, na tentativa de buscar soluções para os mais diversos problemas ambientais. É o que reforça Andrade (2000):</w:t>
      </w:r>
    </w:p>
    <w:p w:rsidR="00062A0E" w:rsidRDefault="00062A0E">
      <w:pPr>
        <w:spacing w:line="360" w:lineRule="auto"/>
        <w:jc w:val="both"/>
      </w:pPr>
    </w:p>
    <w:p w:rsidR="00062A0E" w:rsidRDefault="001526BA">
      <w:pPr>
        <w:ind w:left="2268"/>
        <w:jc w:val="both"/>
      </w:pPr>
      <w:r>
        <w:rPr>
          <w:sz w:val="18"/>
          <w:szCs w:val="18"/>
        </w:rPr>
        <w:t xml:space="preserve">Um desafio para os educadores seria a estimulação de atividades participativas onde seus educandos, dentro ou </w:t>
      </w:r>
      <w:r>
        <w:rPr>
          <w:sz w:val="18"/>
          <w:szCs w:val="18"/>
        </w:rPr>
        <w:t xml:space="preserve">fora da escola, poderão atuar de forma ainda mais significativa no enfrentamento das crises e na busca de soluções. </w:t>
      </w:r>
    </w:p>
    <w:p w:rsidR="00062A0E" w:rsidRDefault="00062A0E">
      <w:pPr>
        <w:spacing w:line="360" w:lineRule="auto"/>
        <w:ind w:left="2268"/>
        <w:jc w:val="both"/>
      </w:pPr>
    </w:p>
    <w:p w:rsidR="00062A0E" w:rsidRDefault="001526BA">
      <w:pPr>
        <w:spacing w:line="360" w:lineRule="auto"/>
        <w:jc w:val="both"/>
      </w:pPr>
      <w:r>
        <w:rPr>
          <w:sz w:val="20"/>
          <w:szCs w:val="20"/>
        </w:rPr>
        <w:tab/>
        <w:t xml:space="preserve">São vários os autores que trabalham a questão da dificuldade em implantar a E. A. nas escolas, também são vários os pontos ressaltados </w:t>
      </w:r>
      <w:r>
        <w:rPr>
          <w:sz w:val="20"/>
          <w:szCs w:val="20"/>
        </w:rPr>
        <w:t>por educadores e diretores que segundo eles dificultam a aplicação da E. A., segundo Andrade (2000):</w:t>
      </w:r>
    </w:p>
    <w:p w:rsidR="00062A0E" w:rsidRDefault="00062A0E">
      <w:pPr>
        <w:spacing w:line="360" w:lineRule="auto"/>
        <w:jc w:val="both"/>
      </w:pPr>
    </w:p>
    <w:p w:rsidR="00062A0E" w:rsidRDefault="001526BA">
      <w:pPr>
        <w:ind w:left="2268"/>
        <w:jc w:val="both"/>
      </w:pPr>
      <w:r>
        <w:rPr>
          <w:sz w:val="18"/>
          <w:szCs w:val="18"/>
        </w:rPr>
        <w:t>Fatores como o tamanho da escola, número de alunos e de professores, predisposição destes professores em passar por um processo de treinamento, vontade da</w:t>
      </w:r>
      <w:r>
        <w:rPr>
          <w:sz w:val="18"/>
          <w:szCs w:val="18"/>
        </w:rPr>
        <w:t xml:space="preserve"> diretoria em realmente </w:t>
      </w:r>
      <w:proofErr w:type="gramStart"/>
      <w:r>
        <w:rPr>
          <w:sz w:val="18"/>
          <w:szCs w:val="18"/>
        </w:rPr>
        <w:t>implementar</w:t>
      </w:r>
      <w:proofErr w:type="gramEnd"/>
      <w:r>
        <w:rPr>
          <w:sz w:val="18"/>
          <w:szCs w:val="18"/>
        </w:rPr>
        <w:t xml:space="preserve"> um projeto ambiental que vá alterar a rotina na escola, etc., além de fatores resultantes da integração dos acima citados e ainda outros, podem servir como obstáculos à implantação da educação ambiental.</w:t>
      </w:r>
    </w:p>
    <w:p w:rsidR="00062A0E" w:rsidRDefault="00062A0E">
      <w:pPr>
        <w:ind w:left="2268"/>
        <w:jc w:val="both"/>
      </w:pPr>
    </w:p>
    <w:p w:rsidR="00062A0E" w:rsidRDefault="001526BA">
      <w:pPr>
        <w:spacing w:line="360" w:lineRule="auto"/>
        <w:ind w:firstLine="708"/>
        <w:jc w:val="both"/>
      </w:pPr>
      <w:r>
        <w:rPr>
          <w:sz w:val="20"/>
          <w:szCs w:val="20"/>
        </w:rPr>
        <w:t>Motivos não fal</w:t>
      </w:r>
      <w:r>
        <w:rPr>
          <w:sz w:val="20"/>
          <w:szCs w:val="20"/>
        </w:rPr>
        <w:t xml:space="preserve">tam para que a E. </w:t>
      </w:r>
      <w:proofErr w:type="gramStart"/>
      <w:r>
        <w:rPr>
          <w:sz w:val="20"/>
          <w:szCs w:val="20"/>
        </w:rPr>
        <w:t>A deixe</w:t>
      </w:r>
      <w:proofErr w:type="gramEnd"/>
      <w:r>
        <w:rPr>
          <w:sz w:val="20"/>
          <w:szCs w:val="20"/>
        </w:rPr>
        <w:t xml:space="preserve"> de ser aplicada nas escolas, principalmente públicas e de cidades interioranas, que, além dos motivos citados por Andrade, não tem uma fiscalização efetiva por parte das secretarias de educação, pois em muitos dos casos estas secr</w:t>
      </w:r>
      <w:r>
        <w:rPr>
          <w:sz w:val="20"/>
          <w:szCs w:val="20"/>
        </w:rPr>
        <w:t>etarias são divididas por regiões de ensino, sendo assim, encontrando-se muito distante das localidades a serem fiscalizadas.</w:t>
      </w:r>
    </w:p>
    <w:p w:rsidR="00062A0E" w:rsidRDefault="00062A0E">
      <w:pPr>
        <w:spacing w:line="360" w:lineRule="auto"/>
      </w:pPr>
    </w:p>
    <w:p w:rsidR="00062A0E" w:rsidRDefault="001526BA">
      <w:pPr>
        <w:spacing w:line="360" w:lineRule="auto"/>
      </w:pPr>
      <w:r>
        <w:rPr>
          <w:b/>
          <w:sz w:val="20"/>
          <w:szCs w:val="20"/>
        </w:rPr>
        <w:t>DESCRIÇÃO METODOLÓGICA</w:t>
      </w:r>
    </w:p>
    <w:p w:rsidR="00062A0E" w:rsidRDefault="00062A0E">
      <w:pPr>
        <w:spacing w:line="360" w:lineRule="auto"/>
      </w:pP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A área de realização da pesquisa está localizada no estado da Paraíba, região nordeste do Brasil, a cidad</w:t>
      </w:r>
      <w:r>
        <w:rPr>
          <w:rFonts w:ascii="Arial" w:hAnsi="Arial" w:cs="Arial"/>
          <w:sz w:val="20"/>
          <w:szCs w:val="20"/>
        </w:rPr>
        <w:t>e de Mamanguape, situada na mesorregião da mata paraibana, localizada na microrregião litoral norte, e encontra- se a 50 km da capital paraibana. A cidade de Mamanguape possui uma população de 42.745 habitantes segundo os dados do IBGE de 2010.</w:t>
      </w:r>
    </w:p>
    <w:p w:rsidR="00062A0E" w:rsidRDefault="001526BA">
      <w:pPr>
        <w:pStyle w:val="Padro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t>Tomando com</w:t>
      </w:r>
      <w:r>
        <w:rPr>
          <w:rFonts w:ascii="Arial" w:hAnsi="Arial" w:cs="Arial"/>
          <w:color w:val="000000"/>
          <w:sz w:val="20"/>
          <w:szCs w:val="20"/>
        </w:rPr>
        <w:t xml:space="preserve">o ponto de </w:t>
      </w:r>
      <w:r>
        <w:rPr>
          <w:rFonts w:ascii="Arial" w:hAnsi="Arial" w:cs="Arial"/>
          <w:sz w:val="20"/>
          <w:szCs w:val="20"/>
        </w:rPr>
        <w:t>partida metodológico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relação temática do pesquisador com o que foi pesquisado, buscou-se então, inicialmente, observar as situações constituintes do cenário escolar da cidade de Mamanguape/PB</w:t>
      </w:r>
      <w:r>
        <w:rPr>
          <w:rFonts w:ascii="Arial" w:hAnsi="Arial" w:cs="Arial"/>
          <w:sz w:val="20"/>
          <w:szCs w:val="20"/>
        </w:rPr>
        <w:t>.</w:t>
      </w:r>
    </w:p>
    <w:p w:rsidR="00062A0E" w:rsidRDefault="001526BA">
      <w:pPr>
        <w:pStyle w:val="Padro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Tem-se observado, mesmo que de maneira muito </w:t>
      </w:r>
      <w:r>
        <w:rPr>
          <w:rFonts w:ascii="Arial" w:hAnsi="Arial" w:cs="Arial"/>
          <w:color w:val="000000"/>
          <w:sz w:val="20"/>
          <w:szCs w:val="20"/>
        </w:rPr>
        <w:t>elementar, que a sociedade está direta ou indiretamente ligada a esta temática. Assim sendo, passou-se a observar que as escolas da cidade de Mamanguape apresentam um número considerado de alunos nas suas escolas, com uma média de 28 a 35 alunos por sala d</w:t>
      </w:r>
      <w:r>
        <w:rPr>
          <w:rFonts w:ascii="Arial" w:hAnsi="Arial" w:cs="Arial"/>
          <w:color w:val="000000"/>
          <w:sz w:val="20"/>
          <w:szCs w:val="20"/>
        </w:rPr>
        <w:t>e aula, no horário diurno, ofertando o ensino do 6º ao 9º ano do ensino fundamental II e do 1º ao 3º ano do ensino médio.</w:t>
      </w:r>
    </w:p>
    <w:p w:rsidR="00062A0E" w:rsidRDefault="001526BA">
      <w:pPr>
        <w:pStyle w:val="Padro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 pesquisa ocorreu na Escola Estadual de Ensino Fundamental e Médio José Aprígio e na Escola Estadual de Ensino Fundamental e Médio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</w:t>
      </w:r>
      <w:r>
        <w:rPr>
          <w:rFonts w:ascii="Arial" w:hAnsi="Arial" w:cs="Arial"/>
          <w:color w:val="000000"/>
          <w:sz w:val="20"/>
          <w:szCs w:val="20"/>
        </w:rPr>
        <w:t>belina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Garcez, situadas dentro do perímetro urbano da cidade, nos dias 14 e 15 de setembro deste ano. Na E. E. E. F. M. José Aprígio foram entregues os questionários aos alunos do 6º ao 9º ano do ensino fundamental II e na E. E. E. F. M.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Umbelina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Garcez ao</w:t>
      </w:r>
      <w:r>
        <w:rPr>
          <w:rFonts w:ascii="Arial" w:hAnsi="Arial" w:cs="Arial"/>
          <w:color w:val="000000"/>
          <w:sz w:val="20"/>
          <w:szCs w:val="20"/>
        </w:rPr>
        <w:t>s alunos do 1º ao 3º ano do ensino médio, como também aos professores e diretores.</w:t>
      </w:r>
    </w:p>
    <w:p w:rsidR="00062A0E" w:rsidRDefault="001526BA">
      <w:pPr>
        <w:pStyle w:val="Padro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t>Então foi elaborado o seguinte questionamento: como está sendo aplicada a educação ambiental em escolas públicas da cidade de Mamanguape/ PB?</w:t>
      </w: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 objetivo geral foi, então,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rificar se a educação ambiental está sendo aplicada conforme a lei nº 9.795 nas escolas públicas da cidade de Mamanguape/PB.</w:t>
      </w:r>
    </w:p>
    <w:p w:rsidR="00062A0E" w:rsidRDefault="001526BA">
      <w:pPr>
        <w:pStyle w:val="Padro"/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sz w:val="20"/>
          <w:szCs w:val="20"/>
        </w:rPr>
        <w:t>Para atingir o objetivo proposto na problemática desta pesquisa iniciaram-se os trabalhos, através</w:t>
      </w:r>
      <w:r>
        <w:rPr>
          <w:rFonts w:ascii="Arial" w:hAnsi="Arial" w:cs="Arial"/>
          <w:sz w:val="20"/>
          <w:szCs w:val="20"/>
        </w:rPr>
        <w:t xml:space="preserve"> de revisão bibliográfica do assu</w:t>
      </w:r>
      <w:r>
        <w:rPr>
          <w:rFonts w:ascii="Arial" w:hAnsi="Arial" w:cs="Arial"/>
          <w:sz w:val="20"/>
          <w:szCs w:val="20"/>
        </w:rPr>
        <w:t xml:space="preserve">nto em pauta. Foram aplicados questionários estruturados. Com os dados obtidos através dos questionários foi construído um banco de dados que nos possibilitou um melhor tratamento e cruzamento dos dados. </w:t>
      </w:r>
    </w:p>
    <w:p w:rsidR="00062A0E" w:rsidRDefault="00062A0E">
      <w:pPr>
        <w:pStyle w:val="Padro"/>
        <w:spacing w:after="0" w:line="360" w:lineRule="auto"/>
        <w:jc w:val="both"/>
      </w:pPr>
    </w:p>
    <w:p w:rsidR="00062A0E" w:rsidRDefault="001526BA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RESULTADOS E DISCUSSÕES</w:t>
      </w:r>
    </w:p>
    <w:p w:rsidR="00062A0E" w:rsidRDefault="00062A0E">
      <w:pPr>
        <w:pStyle w:val="Padro"/>
        <w:spacing w:after="0" w:line="360" w:lineRule="auto"/>
        <w:jc w:val="both"/>
      </w:pP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Atualmente, observamos qu</w:t>
      </w:r>
      <w:r>
        <w:rPr>
          <w:rFonts w:ascii="Arial" w:hAnsi="Arial" w:cs="Arial"/>
          <w:sz w:val="20"/>
          <w:szCs w:val="20"/>
        </w:rPr>
        <w:t xml:space="preserve">e a educação ambiental tem sido discutida com uma assiduidade mais efetiva, nas conversas e discussões formais como nas informais por parte da sociedade em geral, isso nos leva a varias questões que podem ser discutidas por inúmeros </w:t>
      </w:r>
      <w:r>
        <w:rPr>
          <w:rFonts w:ascii="Arial" w:hAnsi="Arial" w:cs="Arial"/>
          <w:sz w:val="20"/>
          <w:szCs w:val="20"/>
        </w:rPr>
        <w:lastRenderedPageBreak/>
        <w:t>membros da sociedade co</w:t>
      </w:r>
      <w:r>
        <w:rPr>
          <w:rFonts w:ascii="Arial" w:hAnsi="Arial" w:cs="Arial"/>
          <w:sz w:val="20"/>
          <w:szCs w:val="20"/>
        </w:rPr>
        <w:t>mo: empresários, políticos, trabalhadores, professores, alunos, entre outros.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Essas discussões motivaram o desenvolvimento deste artigo, procurando saber se a questão da educação ambiental, após a sanção da Lei 9.795, está sendo exercida nas escolas públic</w:t>
      </w:r>
      <w:r>
        <w:rPr>
          <w:rFonts w:ascii="Arial" w:hAnsi="Arial" w:cs="Arial"/>
          <w:sz w:val="20"/>
          <w:szCs w:val="20"/>
        </w:rPr>
        <w:t>as da cidade em questão, levando-nos a desenvolver questionários que foram aplicados aos membros das comunidades escolares de Mamanguape.</w:t>
      </w:r>
    </w:p>
    <w:p w:rsidR="00062A0E" w:rsidRDefault="001526BA">
      <w:pPr>
        <w:pStyle w:val="Padro"/>
        <w:spacing w:after="0"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Na cidade de Mamanguape, aplicamos os questionários em duas escolas da rede pública estadual, primeiro na escola </w:t>
      </w:r>
      <w:r>
        <w:rPr>
          <w:rFonts w:ascii="Arial" w:hAnsi="Arial" w:cs="Arial"/>
          <w:color w:val="000000"/>
          <w:sz w:val="20"/>
          <w:szCs w:val="20"/>
        </w:rPr>
        <w:t>E. E.</w:t>
      </w:r>
      <w:r>
        <w:rPr>
          <w:rFonts w:ascii="Arial" w:hAnsi="Arial" w:cs="Arial"/>
          <w:color w:val="000000"/>
          <w:sz w:val="20"/>
          <w:szCs w:val="20"/>
        </w:rPr>
        <w:t xml:space="preserve"> E. F. M José Aprígio onde foram entregues os questionários aos alunos do 6º ao 9º ano do ensino fundamental II, que iremos identificar como escola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 depois na E. E. E. F. M.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Umbelina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Garcez, aos alunos do 1º ao 3º ano do ensino médio que identificamos c</w:t>
      </w:r>
      <w:r>
        <w:rPr>
          <w:rFonts w:ascii="Arial" w:hAnsi="Arial" w:cs="Arial"/>
          <w:color w:val="000000"/>
          <w:sz w:val="20"/>
          <w:szCs w:val="20"/>
        </w:rPr>
        <w:t xml:space="preserve">omo escola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62A0E" w:rsidRDefault="001526BA">
      <w:pPr>
        <w:pStyle w:val="Padro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t>Também era de nosso interesse aplicar este questionário nas escolas da rede municipal de Mamanguape, mas por motivos de não termos autorização da secretaria de educação do município, fomos impossibilitados.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A princípio nos deparamos com algun</w:t>
      </w:r>
      <w:r>
        <w:rPr>
          <w:rFonts w:ascii="Arial" w:hAnsi="Arial" w:cs="Arial"/>
          <w:sz w:val="20"/>
          <w:szCs w:val="20"/>
        </w:rPr>
        <w:t xml:space="preserve">s problemas em relação à aplicação dos questionários, em ambas as escolas estaduais, pois </w:t>
      </w:r>
      <w:proofErr w:type="gramStart"/>
      <w:r>
        <w:rPr>
          <w:rFonts w:ascii="Arial" w:hAnsi="Arial" w:cs="Arial"/>
          <w:sz w:val="20"/>
          <w:szCs w:val="20"/>
        </w:rPr>
        <w:t>a maioria dos professores não quiseram</w:t>
      </w:r>
      <w:proofErr w:type="gramEnd"/>
      <w:r>
        <w:rPr>
          <w:rFonts w:ascii="Arial" w:hAnsi="Arial" w:cs="Arial"/>
          <w:sz w:val="20"/>
          <w:szCs w:val="20"/>
        </w:rPr>
        <w:t xml:space="preserve"> responder os questionários. Perguntamos quais seriam os motivos de se recusarem a responder um simples questionário de nove per</w:t>
      </w:r>
      <w:r>
        <w:rPr>
          <w:rFonts w:ascii="Arial" w:hAnsi="Arial" w:cs="Arial"/>
          <w:sz w:val="20"/>
          <w:szCs w:val="20"/>
        </w:rPr>
        <w:t>guntas e responderam que não gostam de questionários, que é perda de tempo, não gostam do assunto abordado no questionário, entre outras desculpas.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Apesar das dificuldades encontradas, 26 professores das duas escolas responderam o questionário, das diferen</w:t>
      </w:r>
      <w:r>
        <w:rPr>
          <w:rFonts w:ascii="Arial" w:hAnsi="Arial" w:cs="Arial"/>
          <w:sz w:val="20"/>
          <w:szCs w:val="20"/>
        </w:rPr>
        <w:t>tes áreas do conhecimento, onde questionamos se os mesmos têm conhecimento da educação ambiental, 79% dos professores responderam que possuem o conhecimento, mas 85% dos questionados afirmam desconhecer a Lei 9.795. Ou seja, eles conhecem o significado e a</w:t>
      </w:r>
      <w:r>
        <w:rPr>
          <w:rFonts w:ascii="Arial" w:hAnsi="Arial" w:cs="Arial"/>
          <w:sz w:val="20"/>
          <w:szCs w:val="20"/>
        </w:rPr>
        <w:t xml:space="preserve"> sua importância, mas desconhecem a norma regulamentadora, que se faz vigente desde abril de 1999, doze anos se passaram e não só os professores de Mamanguape como a maioria dos professores também desconhecem esta Lei. 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Também procuramos saber se os profes</w:t>
      </w:r>
      <w:r>
        <w:rPr>
          <w:rFonts w:ascii="Arial" w:hAnsi="Arial" w:cs="Arial"/>
          <w:sz w:val="20"/>
          <w:szCs w:val="20"/>
        </w:rPr>
        <w:t xml:space="preserve">sores tinham algum motivo para não aplicar a E. A. e </w:t>
      </w:r>
      <w:proofErr w:type="gramStart"/>
      <w:r>
        <w:rPr>
          <w:rFonts w:ascii="Arial" w:hAnsi="Arial" w:cs="Arial"/>
          <w:sz w:val="20"/>
          <w:szCs w:val="20"/>
        </w:rPr>
        <w:t>cerca de 46</w:t>
      </w:r>
      <w:proofErr w:type="gramEnd"/>
      <w:r>
        <w:rPr>
          <w:rFonts w:ascii="Arial" w:hAnsi="Arial" w:cs="Arial"/>
          <w:sz w:val="20"/>
          <w:szCs w:val="20"/>
        </w:rPr>
        <w:t xml:space="preserve">% deles responderam que não têm segurança sobre o tema e 31% relataram que não gostam do assunto. Buscamos junto aos mesmos a </w:t>
      </w:r>
      <w:proofErr w:type="spellStart"/>
      <w:r>
        <w:rPr>
          <w:rFonts w:ascii="Arial" w:hAnsi="Arial" w:cs="Arial"/>
          <w:sz w:val="20"/>
          <w:szCs w:val="20"/>
        </w:rPr>
        <w:t>freqüência</w:t>
      </w:r>
      <w:proofErr w:type="spellEnd"/>
      <w:r>
        <w:rPr>
          <w:rFonts w:ascii="Arial" w:hAnsi="Arial" w:cs="Arial"/>
          <w:sz w:val="20"/>
          <w:szCs w:val="20"/>
        </w:rPr>
        <w:t xml:space="preserve"> da aplicabilidade da E. A., durante o ano letivo, confo</w:t>
      </w:r>
      <w:r>
        <w:rPr>
          <w:rFonts w:ascii="Arial" w:hAnsi="Arial" w:cs="Arial"/>
          <w:sz w:val="20"/>
          <w:szCs w:val="20"/>
        </w:rPr>
        <w:t xml:space="preserve">rme o Gráfico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, observamos que 46% aplicam este assunto apenas uma vez por ano, segundo eles se houver alguma programação para a semana do meio ambiente, observamos, também, que 15% não aplicam nem uma vez durante o ano letivo.</w:t>
      </w:r>
    </w:p>
    <w:p w:rsidR="00062A0E" w:rsidRDefault="00062A0E">
      <w:pPr>
        <w:pStyle w:val="Padro"/>
        <w:spacing w:after="0" w:line="360" w:lineRule="auto"/>
        <w:ind w:firstLine="357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6"/>
      </w:tblGrid>
      <w:tr w:rsidR="00062A0E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5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360" w:lineRule="auto"/>
              <w:jc w:val="both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383915" cy="1869440"/>
                  <wp:effectExtent l="0" t="0" r="0" b="0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915" cy="186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A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Gráfico 1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Freqüência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 abordagem do assunto.</w:t>
            </w:r>
          </w:p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Fonte: Dados da pesquisa, 2011.</w:t>
            </w:r>
          </w:p>
        </w:tc>
      </w:tr>
    </w:tbl>
    <w:p w:rsidR="00062A0E" w:rsidRDefault="00062A0E">
      <w:pPr>
        <w:pStyle w:val="Padro"/>
        <w:spacing w:after="0" w:line="360" w:lineRule="auto"/>
        <w:ind w:firstLine="357"/>
        <w:jc w:val="both"/>
      </w:pP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Indagamos os professores para esclarecer a questão que diz respeito ao interesse dos alunos sobre a E. A., quando a mesma é aplicada durante as aulas, as respostas foram bastante diferentes, onde 6</w:t>
      </w:r>
      <w:r>
        <w:rPr>
          <w:rFonts w:ascii="Arial" w:hAnsi="Arial" w:cs="Arial"/>
          <w:sz w:val="20"/>
          <w:szCs w:val="20"/>
        </w:rPr>
        <w:t xml:space="preserve">9% confirmam que os alunos gostam do assunto e apenas 31% dizem não gostar do assunto. 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Durante a nossa visita às escolas não podemos deixar de observar a dispersão dos alunos nos corredores durante o horário das aulas, como também a falta de imposição de </w:t>
      </w:r>
      <w:r>
        <w:rPr>
          <w:rFonts w:ascii="Arial" w:hAnsi="Arial" w:cs="Arial"/>
          <w:sz w:val="20"/>
          <w:szCs w:val="20"/>
        </w:rPr>
        <w:t>alguns professores e da direção sobre este fato.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Através do questionário obtivemos a opinião dos professores sobre a intenção dos mesmos terem pretensão de participar de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mini-cursos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palestras, dinâmicas que os auxiliassem no ensino da E. A., onde apenas 5</w:t>
      </w:r>
      <w:r>
        <w:rPr>
          <w:rFonts w:ascii="Arial" w:hAnsi="Arial" w:cs="Arial"/>
          <w:sz w:val="20"/>
          <w:szCs w:val="20"/>
        </w:rPr>
        <w:t>5% demonstraram interesse em participar.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Estes 55% nos declaram que ainda não participaram de nenhum curso ou treinamento de aperfeiçoamento por não terem a oportunidade de serem beneficiados por programas governamentais a respeito desta temática.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>As diret</w:t>
      </w:r>
      <w:r>
        <w:rPr>
          <w:rFonts w:ascii="Arial" w:hAnsi="Arial" w:cs="Arial"/>
          <w:sz w:val="20"/>
          <w:szCs w:val="20"/>
        </w:rPr>
        <w:t>oras das respectivas escolas também responderam um questionário sobre a temática trabalhada neste artigo. Como perguntamos aos professores se eles tinham o conhecimento da Lei 9.795, as diretoras também o foram.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A diretora da escola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respondeu que conhece</w:t>
      </w:r>
      <w:r>
        <w:rPr>
          <w:rFonts w:ascii="Arial" w:hAnsi="Arial" w:cs="Arial"/>
          <w:sz w:val="20"/>
          <w:szCs w:val="20"/>
        </w:rPr>
        <w:t xml:space="preserve"> a lei, o seu significado e sua importância e </w:t>
      </w:r>
      <w:proofErr w:type="spellStart"/>
      <w:r>
        <w:rPr>
          <w:rFonts w:ascii="Arial" w:hAnsi="Arial" w:cs="Arial"/>
          <w:sz w:val="20"/>
          <w:szCs w:val="20"/>
        </w:rPr>
        <w:t>apóia</w:t>
      </w:r>
      <w:proofErr w:type="spellEnd"/>
      <w:r>
        <w:rPr>
          <w:rFonts w:ascii="Arial" w:hAnsi="Arial" w:cs="Arial"/>
          <w:sz w:val="20"/>
          <w:szCs w:val="20"/>
        </w:rPr>
        <w:t xml:space="preserve">, pois realiza junto com a comunidade escolar trabalhos </w:t>
      </w:r>
      <w:proofErr w:type="spellStart"/>
      <w:r>
        <w:rPr>
          <w:rFonts w:ascii="Arial" w:hAnsi="Arial" w:cs="Arial"/>
          <w:sz w:val="20"/>
          <w:szCs w:val="20"/>
        </w:rPr>
        <w:t>sócio-educativos</w:t>
      </w:r>
      <w:proofErr w:type="spellEnd"/>
      <w:r>
        <w:rPr>
          <w:rFonts w:ascii="Arial" w:hAnsi="Arial" w:cs="Arial"/>
          <w:sz w:val="20"/>
          <w:szCs w:val="20"/>
        </w:rPr>
        <w:t>, através de atividades de grupos como dramatização e exposição de cartazes por alunos coordenados pela direção e professores.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Segundo a diretora da escola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, “temos que conscientizar  e sensibilizar a população desde cedo para que possamos colher futuramente os frutos destes trabalhos”.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Em relação à diretora da escola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>, afirma não conhecer a lei, mas tem algum conhecimento a res</w:t>
      </w:r>
      <w:r>
        <w:rPr>
          <w:rFonts w:ascii="Arial" w:hAnsi="Arial" w:cs="Arial"/>
          <w:sz w:val="20"/>
          <w:szCs w:val="20"/>
        </w:rPr>
        <w:t xml:space="preserve">peito da E. A., segundo a mesma afirma não trabalhar com muita </w:t>
      </w:r>
      <w:proofErr w:type="spellStart"/>
      <w:r>
        <w:rPr>
          <w:rFonts w:ascii="Arial" w:hAnsi="Arial" w:cs="Arial"/>
          <w:sz w:val="20"/>
          <w:szCs w:val="20"/>
        </w:rPr>
        <w:t>freqüência</w:t>
      </w:r>
      <w:proofErr w:type="spellEnd"/>
      <w:r>
        <w:rPr>
          <w:rFonts w:ascii="Arial" w:hAnsi="Arial" w:cs="Arial"/>
          <w:sz w:val="20"/>
          <w:szCs w:val="20"/>
        </w:rPr>
        <w:t xml:space="preserve"> esta temática, por falta de </w:t>
      </w:r>
      <w:proofErr w:type="gramStart"/>
      <w:r>
        <w:rPr>
          <w:rFonts w:ascii="Arial" w:hAnsi="Arial" w:cs="Arial"/>
          <w:sz w:val="20"/>
          <w:szCs w:val="20"/>
        </w:rPr>
        <w:t>uma maior esclarecimento</w:t>
      </w:r>
      <w:proofErr w:type="gramEnd"/>
      <w:r>
        <w:rPr>
          <w:rFonts w:ascii="Arial" w:hAnsi="Arial" w:cs="Arial"/>
          <w:sz w:val="20"/>
          <w:szCs w:val="20"/>
        </w:rPr>
        <w:t xml:space="preserve"> do assunto.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Tanto a direção como os professores da escola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sugeriram que a UFPB - campus IV, Litoral Norte realize treinamentos </w:t>
      </w:r>
      <w:r>
        <w:rPr>
          <w:rFonts w:ascii="Arial" w:hAnsi="Arial" w:cs="Arial"/>
          <w:sz w:val="20"/>
          <w:szCs w:val="20"/>
        </w:rPr>
        <w:t>de aperfeiçoamentos na área de educação ambiental.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Dando continuidade a verificação dos dados obtidos, percebemos que os alunos das duas escolas apresentam resultados bem diferenciados. Os alunos da escola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e 2 ao respondem sobre como ficaram sabendo sobr</w:t>
      </w:r>
      <w:r>
        <w:rPr>
          <w:rFonts w:ascii="Arial" w:hAnsi="Arial" w:cs="Arial"/>
          <w:sz w:val="20"/>
          <w:szCs w:val="20"/>
        </w:rPr>
        <w:t xml:space="preserve">e E. A., apresentaram os seguintes respostas, observe os gráficos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e 3.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4"/>
      </w:tblGrid>
      <w:tr w:rsidR="00062A0E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8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36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586355" cy="1569720"/>
                  <wp:effectExtent l="0" t="0" r="0" b="0"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35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A0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8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Gráfico 2 – Conhecimento sobre E. A. por parte dos alunos.</w:t>
            </w:r>
          </w:p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Fonte: Dados da pesquisa, 2011.</w:t>
            </w:r>
          </w:p>
        </w:tc>
      </w:tr>
      <w:tr w:rsidR="00062A0E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8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36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578735" cy="1487805"/>
                  <wp:effectExtent l="0" t="0" r="0" b="0"/>
                  <wp:docPr id="3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A0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Gráfico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Conhecimento sobre educação ambiental.</w:t>
            </w:r>
          </w:p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Fonte: Dados da pesquisa, 2011.</w:t>
            </w:r>
          </w:p>
        </w:tc>
      </w:tr>
    </w:tbl>
    <w:p w:rsidR="00062A0E" w:rsidRDefault="00062A0E">
      <w:pPr>
        <w:pStyle w:val="Padro"/>
        <w:spacing w:after="0" w:line="360" w:lineRule="auto"/>
        <w:ind w:firstLine="357"/>
        <w:jc w:val="both"/>
      </w:pPr>
    </w:p>
    <w:p w:rsidR="00062A0E" w:rsidRDefault="00062A0E">
      <w:pPr>
        <w:pStyle w:val="Padro"/>
        <w:spacing w:after="0" w:line="360" w:lineRule="auto"/>
        <w:ind w:firstLine="357"/>
        <w:jc w:val="both"/>
      </w:pP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Ainda questionamos os alunos a respeito de questões que fazem parte dos estudos da E. A., de uso mais </w:t>
      </w:r>
      <w:proofErr w:type="spellStart"/>
      <w:r>
        <w:rPr>
          <w:rFonts w:ascii="Arial" w:hAnsi="Arial" w:cs="Arial"/>
          <w:sz w:val="20"/>
          <w:szCs w:val="20"/>
        </w:rPr>
        <w:t>freqüente</w:t>
      </w:r>
      <w:proofErr w:type="spellEnd"/>
      <w:r>
        <w:rPr>
          <w:rFonts w:ascii="Arial" w:hAnsi="Arial" w:cs="Arial"/>
          <w:sz w:val="20"/>
          <w:szCs w:val="20"/>
        </w:rPr>
        <w:t xml:space="preserve"> como: o que são resíduos sólidos, o que é coleta seletiva e a destinação do lixo domiciliar.</w:t>
      </w:r>
    </w:p>
    <w:p w:rsidR="00062A0E" w:rsidRDefault="001526BA">
      <w:pPr>
        <w:pStyle w:val="Padro"/>
        <w:spacing w:after="0" w:line="360" w:lineRule="auto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A fim de proporcionar uma melhor compreensão dos </w:t>
      </w:r>
      <w:r>
        <w:rPr>
          <w:rFonts w:ascii="Arial" w:hAnsi="Arial" w:cs="Arial"/>
          <w:sz w:val="20"/>
          <w:szCs w:val="20"/>
        </w:rPr>
        <w:t xml:space="preserve">dados obtidos, agrupamos os resultados das duas escolas, tendo em vista que foram </w:t>
      </w:r>
      <w:proofErr w:type="gramStart"/>
      <w:r>
        <w:rPr>
          <w:rFonts w:ascii="Arial" w:hAnsi="Arial" w:cs="Arial"/>
          <w:sz w:val="20"/>
          <w:szCs w:val="20"/>
        </w:rPr>
        <w:t>aplicados</w:t>
      </w:r>
      <w:proofErr w:type="gramEnd"/>
      <w:r>
        <w:rPr>
          <w:rFonts w:ascii="Arial" w:hAnsi="Arial" w:cs="Arial"/>
          <w:sz w:val="20"/>
          <w:szCs w:val="20"/>
        </w:rPr>
        <w:t xml:space="preserve"> as mesmas perguntas para os alunos.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322"/>
      </w:tblGrid>
      <w:tr w:rsidR="00062A0E">
        <w:tblPrEx>
          <w:tblCellMar>
            <w:top w:w="0" w:type="dxa"/>
            <w:bottom w:w="0" w:type="dxa"/>
          </w:tblCellMar>
        </w:tblPrEx>
        <w:trPr>
          <w:trHeight w:val="2412"/>
        </w:trPr>
        <w:tc>
          <w:tcPr>
            <w:tcW w:w="7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36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722880" cy="1459865"/>
                  <wp:effectExtent l="0" t="0" r="0" b="0"/>
                  <wp:docPr id="4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80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36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606675" cy="1494155"/>
                  <wp:effectExtent l="0" t="0" r="0" b="0"/>
                  <wp:docPr id="5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75" cy="149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A0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Gráfico 4 – Resíduos sólidos</w:t>
            </w:r>
          </w:p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Fonte: Dados da pesquisa,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2011</w:t>
            </w:r>
            <w:proofErr w:type="gramEnd"/>
          </w:p>
          <w:p w:rsidR="00062A0E" w:rsidRDefault="00062A0E">
            <w:pPr>
              <w:pStyle w:val="Padro"/>
              <w:spacing w:after="0" w:line="100" w:lineRule="atLeast"/>
              <w:jc w:val="both"/>
            </w:pPr>
          </w:p>
        </w:tc>
        <w:tc>
          <w:tcPr>
            <w:tcW w:w="6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Gráfico 5 – Coleta seletiva</w:t>
            </w:r>
          </w:p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Fonte: Dados da pesquisa,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2011</w:t>
            </w:r>
            <w:proofErr w:type="gramEnd"/>
          </w:p>
        </w:tc>
      </w:tr>
      <w:tr w:rsidR="00062A0E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71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360" w:lineRule="auto"/>
              <w:jc w:val="both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342005" cy="1651635"/>
                  <wp:effectExtent l="0" t="0" r="0" b="0"/>
                  <wp:docPr id="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005" cy="165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A0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Gráfico 6 – Lixo de casa</w:t>
            </w:r>
          </w:p>
          <w:p w:rsidR="00062A0E" w:rsidRDefault="001526BA">
            <w:pPr>
              <w:pStyle w:val="Padro"/>
              <w:spacing w:after="0" w:line="100" w:lineRule="atLeast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Fonte: COSME, 2011</w:t>
            </w:r>
          </w:p>
        </w:tc>
      </w:tr>
    </w:tbl>
    <w:p w:rsidR="00062A0E" w:rsidRDefault="001526BA">
      <w:pPr>
        <w:pStyle w:val="Padro"/>
        <w:spacing w:after="0" w:line="100" w:lineRule="atLeast"/>
        <w:ind w:firstLine="357"/>
        <w:jc w:val="both"/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062A0E" w:rsidRDefault="00062A0E">
      <w:pPr>
        <w:pStyle w:val="Padro"/>
        <w:spacing w:after="0" w:line="100" w:lineRule="atLeast"/>
        <w:ind w:firstLine="357"/>
        <w:jc w:val="both"/>
      </w:pPr>
    </w:p>
    <w:p w:rsidR="00062A0E" w:rsidRDefault="00062A0E">
      <w:pPr>
        <w:pStyle w:val="Padro"/>
        <w:spacing w:after="0" w:line="100" w:lineRule="atLeast"/>
        <w:ind w:firstLine="357"/>
        <w:jc w:val="both"/>
      </w:pPr>
    </w:p>
    <w:p w:rsidR="00062A0E" w:rsidRDefault="00062A0E">
      <w:pPr>
        <w:pStyle w:val="Padro"/>
        <w:spacing w:after="0" w:line="100" w:lineRule="atLeast"/>
        <w:ind w:firstLine="357"/>
        <w:jc w:val="both"/>
      </w:pPr>
    </w:p>
    <w:p w:rsidR="00062A0E" w:rsidRDefault="00062A0E">
      <w:pPr>
        <w:pStyle w:val="Padro"/>
        <w:spacing w:after="0" w:line="100" w:lineRule="atLeast"/>
        <w:ind w:firstLine="357"/>
        <w:jc w:val="both"/>
      </w:pPr>
    </w:p>
    <w:p w:rsidR="00062A0E" w:rsidRDefault="00062A0E">
      <w:pPr>
        <w:pStyle w:val="Padro"/>
        <w:spacing w:after="0" w:line="100" w:lineRule="atLeast"/>
        <w:ind w:firstLine="357"/>
        <w:jc w:val="both"/>
      </w:pPr>
    </w:p>
    <w:p w:rsidR="00062A0E" w:rsidRDefault="00062A0E">
      <w:pPr>
        <w:pStyle w:val="Padro"/>
        <w:spacing w:after="0" w:line="100" w:lineRule="atLeast"/>
        <w:ind w:firstLine="357"/>
        <w:jc w:val="both"/>
      </w:pPr>
    </w:p>
    <w:p w:rsidR="00062A0E" w:rsidRDefault="00062A0E">
      <w:pPr>
        <w:pStyle w:val="Padro"/>
        <w:spacing w:after="0" w:line="360" w:lineRule="auto"/>
        <w:ind w:firstLine="357"/>
        <w:jc w:val="both"/>
      </w:pPr>
    </w:p>
    <w:p w:rsidR="00062A0E" w:rsidRDefault="00062A0E">
      <w:pPr>
        <w:pStyle w:val="Padro"/>
        <w:spacing w:after="0" w:line="360" w:lineRule="auto"/>
        <w:ind w:firstLine="360"/>
        <w:jc w:val="both"/>
      </w:pPr>
    </w:p>
    <w:p w:rsidR="00062A0E" w:rsidRDefault="00062A0E">
      <w:pPr>
        <w:pStyle w:val="Padro"/>
        <w:spacing w:after="0" w:line="360" w:lineRule="auto"/>
        <w:ind w:firstLine="360"/>
        <w:jc w:val="both"/>
      </w:pPr>
    </w:p>
    <w:p w:rsidR="00062A0E" w:rsidRDefault="00062A0E">
      <w:pPr>
        <w:jc w:val="both"/>
      </w:pPr>
    </w:p>
    <w:p w:rsidR="00062A0E" w:rsidRDefault="00062A0E">
      <w:pPr>
        <w:pStyle w:val="Padro"/>
        <w:spacing w:after="0" w:line="100" w:lineRule="atLeast"/>
        <w:jc w:val="both"/>
      </w:pPr>
    </w:p>
    <w:p w:rsidR="00062A0E" w:rsidRDefault="00062A0E">
      <w:pPr>
        <w:pStyle w:val="Padro"/>
        <w:spacing w:after="0" w:line="100" w:lineRule="atLeast"/>
        <w:jc w:val="both"/>
      </w:pPr>
    </w:p>
    <w:p w:rsidR="00062A0E" w:rsidRDefault="00062A0E">
      <w:pPr>
        <w:pStyle w:val="Padro"/>
        <w:spacing w:after="0" w:line="100" w:lineRule="atLeast"/>
        <w:jc w:val="both"/>
      </w:pPr>
    </w:p>
    <w:p w:rsidR="00062A0E" w:rsidRDefault="00062A0E">
      <w:pPr>
        <w:pStyle w:val="Padro"/>
        <w:spacing w:after="0" w:line="100" w:lineRule="atLeast"/>
        <w:jc w:val="both"/>
      </w:pPr>
    </w:p>
    <w:p w:rsidR="00062A0E" w:rsidRDefault="001526BA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sz w:val="20"/>
          <w:szCs w:val="20"/>
        </w:rPr>
        <w:t>CONCLUSÃO</w:t>
      </w:r>
    </w:p>
    <w:p w:rsidR="00062A0E" w:rsidRDefault="00062A0E">
      <w:pPr>
        <w:pStyle w:val="Padro"/>
        <w:spacing w:before="120" w:after="120" w:line="360" w:lineRule="auto"/>
        <w:ind w:firstLine="708"/>
        <w:jc w:val="both"/>
      </w:pPr>
    </w:p>
    <w:p w:rsidR="00062A0E" w:rsidRDefault="001526BA">
      <w:pPr>
        <w:pStyle w:val="Padro"/>
        <w:spacing w:before="120" w:after="12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Compreendemos que existem inúmeros estudos sobre a questão da aplicação da Lei 9.795 que trata da Educação Ambiental, aplicada nas escolas e nos mais diferentes órgãos. Esta </w:t>
      </w:r>
      <w:r>
        <w:rPr>
          <w:rFonts w:ascii="Arial" w:hAnsi="Arial" w:cs="Arial"/>
          <w:sz w:val="20"/>
          <w:szCs w:val="20"/>
        </w:rPr>
        <w:t>problemática ainda esta longe de ser finalmente resolvida pelas sociedades, portanto é preciso continuar buscando soluções para este problema, típico da nossa cultura, o qual se baseia na falta de esclarecimento das Leis para grande parte da população bras</w:t>
      </w:r>
      <w:r>
        <w:rPr>
          <w:rFonts w:ascii="Arial" w:hAnsi="Arial" w:cs="Arial"/>
          <w:sz w:val="20"/>
          <w:szCs w:val="20"/>
        </w:rPr>
        <w:t>ileira, tendo em vista que desde abril de 1999, com a sanção da Lei, pouco foi acrescentado na educação dos diversos níveis a respeito da questão ambiental.</w:t>
      </w:r>
    </w:p>
    <w:p w:rsidR="00062A0E" w:rsidRDefault="001526BA">
      <w:pPr>
        <w:pStyle w:val="Padro"/>
        <w:spacing w:before="120" w:after="12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Sabemos, entretanto, que educação ambiental é um processo contínuo e participativo na construção de</w:t>
      </w:r>
      <w:r>
        <w:rPr>
          <w:rFonts w:ascii="Arial" w:hAnsi="Arial" w:cs="Arial"/>
          <w:sz w:val="20"/>
          <w:szCs w:val="20"/>
        </w:rPr>
        <w:t xml:space="preserve"> uma metodologia de ensino/aprendizagem, que busca previamente sensibilizar e diagnosticar problemas ambientais, como também na formação de agentes transformadores, de atitude e conduta em prol do exercício da cidadania.</w:t>
      </w:r>
    </w:p>
    <w:p w:rsidR="00062A0E" w:rsidRDefault="001526BA">
      <w:pPr>
        <w:pStyle w:val="Padro"/>
        <w:spacing w:before="120" w:after="12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Concluímos que a educação ambiental</w:t>
      </w:r>
      <w:r>
        <w:rPr>
          <w:rFonts w:ascii="Arial" w:hAnsi="Arial" w:cs="Arial"/>
          <w:sz w:val="20"/>
          <w:szCs w:val="20"/>
        </w:rPr>
        <w:t xml:space="preserve"> e sua Lei 9.795 não estão sendo devidamente aplicadas conforme a normatização vigente, mas resultando que, mesmo sem o conhecimento </w:t>
      </w:r>
      <w:r>
        <w:rPr>
          <w:rFonts w:ascii="Arial" w:hAnsi="Arial" w:cs="Arial"/>
          <w:sz w:val="20"/>
          <w:szCs w:val="20"/>
        </w:rPr>
        <w:lastRenderedPageBreak/>
        <w:t>da Lei, alguns poucos membros da comunidade escolar vêm procurando fazer a sua parte, mesmo que de maneira bem discreta.</w:t>
      </w:r>
    </w:p>
    <w:p w:rsidR="00062A0E" w:rsidRDefault="001526BA">
      <w:pPr>
        <w:pStyle w:val="Padro"/>
        <w:spacing w:before="120" w:after="120"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 xml:space="preserve">s cabe às autoridades competentes uma maior fiscalização nos conteúdos escolares, principalmente nas escolas interioranas e buscar ajudar junto aos órgãos superiores de ensino, medidas mitigadoras para tentar resolver esta problemática. Tendo em vista que </w:t>
      </w:r>
      <w:r>
        <w:rPr>
          <w:rFonts w:ascii="Arial" w:hAnsi="Arial" w:cs="Arial"/>
          <w:sz w:val="20"/>
          <w:szCs w:val="20"/>
        </w:rPr>
        <w:t>na cidade em questão encontra-se a Universidade Federal da Paraíba que dispõe de projetos de extensão, voltados a atender algumas das necessidades da população local e áreas circunvizinhas, como é o caso do projeto de apoio à profissionalização: caminhos p</w:t>
      </w:r>
      <w:r>
        <w:rPr>
          <w:rFonts w:ascii="Arial" w:hAnsi="Arial" w:cs="Arial"/>
          <w:sz w:val="20"/>
          <w:szCs w:val="20"/>
        </w:rPr>
        <w:t>ara o desenvolvimento das comunidades do Vale do Mamanguape.</w:t>
      </w:r>
    </w:p>
    <w:p w:rsidR="00062A0E" w:rsidRDefault="00062A0E">
      <w:pPr>
        <w:pStyle w:val="Padro"/>
        <w:spacing w:after="0" w:line="100" w:lineRule="atLeast"/>
        <w:jc w:val="both"/>
      </w:pPr>
    </w:p>
    <w:p w:rsidR="00062A0E" w:rsidRDefault="001526BA">
      <w:pPr>
        <w:pStyle w:val="Padro"/>
        <w:spacing w:after="0" w:line="100" w:lineRule="atLeast"/>
        <w:jc w:val="both"/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062A0E" w:rsidRDefault="00062A0E">
      <w:pPr>
        <w:pStyle w:val="Padro"/>
        <w:spacing w:after="0" w:line="100" w:lineRule="atLeast"/>
        <w:jc w:val="both"/>
      </w:pPr>
    </w:p>
    <w:p w:rsidR="00062A0E" w:rsidRDefault="001526BA">
      <w:pPr>
        <w:pStyle w:val="Padro"/>
        <w:tabs>
          <w:tab w:val="left" w:pos="548"/>
        </w:tabs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ANDRADE, D. F. </w:t>
      </w:r>
      <w:proofErr w:type="gramStart"/>
      <w:r>
        <w:rPr>
          <w:rFonts w:ascii="Arial" w:hAnsi="Arial" w:cs="Arial"/>
          <w:b/>
          <w:sz w:val="20"/>
          <w:szCs w:val="20"/>
        </w:rPr>
        <w:t>Implementação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da Educação Ambiental em escolas: uma reflexão.</w:t>
      </w:r>
      <w:r>
        <w:rPr>
          <w:rFonts w:ascii="Arial" w:hAnsi="Arial" w:cs="Arial"/>
          <w:sz w:val="20"/>
          <w:szCs w:val="20"/>
        </w:rPr>
        <w:t xml:space="preserve"> In: Fundação Universitária Federal do Rio Grande. Revista Eletrônica do Mestrado em Educação Ambiental, </w:t>
      </w:r>
      <w:r>
        <w:rPr>
          <w:rFonts w:ascii="Arial" w:hAnsi="Arial" w:cs="Arial"/>
          <w:sz w:val="20"/>
          <w:szCs w:val="20"/>
        </w:rPr>
        <w:t xml:space="preserve">V.4. </w:t>
      </w:r>
      <w:proofErr w:type="gramStart"/>
      <w:r>
        <w:rPr>
          <w:rFonts w:ascii="Arial" w:hAnsi="Arial" w:cs="Arial"/>
          <w:sz w:val="20"/>
          <w:szCs w:val="20"/>
        </w:rPr>
        <w:t>out</w:t>
      </w:r>
      <w:proofErr w:type="gram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Nov</w:t>
      </w:r>
      <w:proofErr w:type="spellEnd"/>
      <w:r>
        <w:rPr>
          <w:rFonts w:ascii="Arial" w:hAnsi="Arial" w:cs="Arial"/>
          <w:sz w:val="20"/>
          <w:szCs w:val="20"/>
        </w:rPr>
        <w:t>/dez 2000.</w:t>
      </w:r>
    </w:p>
    <w:p w:rsidR="00062A0E" w:rsidRDefault="00062A0E">
      <w:pPr>
        <w:pStyle w:val="Padro"/>
        <w:tabs>
          <w:tab w:val="left" w:pos="548"/>
        </w:tabs>
        <w:spacing w:after="0" w:line="360" w:lineRule="auto"/>
        <w:jc w:val="both"/>
      </w:pPr>
    </w:p>
    <w:p w:rsidR="00062A0E" w:rsidRDefault="001526BA">
      <w:pPr>
        <w:pStyle w:val="Padro"/>
        <w:tabs>
          <w:tab w:val="left" w:pos="548"/>
        </w:tabs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BEATA, A. M. B. </w:t>
      </w:r>
      <w:proofErr w:type="gramStart"/>
      <w:r>
        <w:rPr>
          <w:rFonts w:ascii="Arial" w:hAnsi="Arial" w:cs="Arial"/>
          <w:i/>
          <w:sz w:val="20"/>
          <w:szCs w:val="20"/>
        </w:rPr>
        <w:t>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Educação Ambiental</w:t>
      </w:r>
      <w:r>
        <w:rPr>
          <w:rFonts w:ascii="Arial" w:hAnsi="Arial" w:cs="Arial"/>
          <w:sz w:val="20"/>
          <w:szCs w:val="20"/>
        </w:rPr>
        <w:t>. São Paulo: Cortez, 2002.</w:t>
      </w:r>
    </w:p>
    <w:p w:rsidR="00062A0E" w:rsidRDefault="00062A0E">
      <w:pPr>
        <w:pStyle w:val="Padro"/>
        <w:tabs>
          <w:tab w:val="left" w:pos="548"/>
        </w:tabs>
        <w:spacing w:after="0" w:line="360" w:lineRule="auto"/>
        <w:jc w:val="both"/>
      </w:pPr>
    </w:p>
    <w:p w:rsidR="00062A0E" w:rsidRDefault="001526BA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FERREIRA, Aurélio Buarque de Holanda. </w:t>
      </w:r>
      <w:r>
        <w:rPr>
          <w:rFonts w:ascii="Arial" w:hAnsi="Arial" w:cs="Arial"/>
          <w:b/>
          <w:sz w:val="20"/>
          <w:szCs w:val="20"/>
        </w:rPr>
        <w:t>Novo Aurélio século XXI: O dicionário da Língua portuguesa.</w:t>
      </w:r>
      <w:r>
        <w:rPr>
          <w:rFonts w:ascii="Arial" w:hAnsi="Arial" w:cs="Arial"/>
          <w:sz w:val="20"/>
          <w:szCs w:val="20"/>
        </w:rPr>
        <w:t xml:space="preserve"> 3ed. Rio de Janeiro: Nova fronteira, 1999.</w:t>
      </w:r>
    </w:p>
    <w:p w:rsidR="00062A0E" w:rsidRDefault="00062A0E">
      <w:pPr>
        <w:pStyle w:val="Padro"/>
        <w:spacing w:after="0" w:line="360" w:lineRule="auto"/>
        <w:jc w:val="both"/>
      </w:pPr>
    </w:p>
    <w:p w:rsidR="00062A0E" w:rsidRDefault="001526BA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GIL, </w:t>
      </w:r>
      <w:proofErr w:type="spellStart"/>
      <w:r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 Carlos. </w:t>
      </w:r>
      <w:r>
        <w:rPr>
          <w:rFonts w:ascii="Arial" w:hAnsi="Arial" w:cs="Arial"/>
          <w:b/>
          <w:sz w:val="20"/>
          <w:szCs w:val="20"/>
        </w:rPr>
        <w:t>Como elaborar projetos de pesquisa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ed. São Paulo: Atlas, 2008.</w:t>
      </w:r>
    </w:p>
    <w:p w:rsidR="00062A0E" w:rsidRDefault="00062A0E">
      <w:pPr>
        <w:pStyle w:val="Padro"/>
        <w:spacing w:after="0" w:line="360" w:lineRule="auto"/>
        <w:jc w:val="both"/>
      </w:pPr>
    </w:p>
    <w:p w:rsidR="00062A0E" w:rsidRDefault="001526BA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Lei 9.795 apud MANFREDINE, 2009. Disponível em </w:t>
      </w:r>
      <w:hyperlink r:id="rId13">
        <w:r>
          <w:rPr>
            <w:rStyle w:val="LinkdaInternet"/>
            <w:rFonts w:ascii="Arial" w:hAnsi="Arial" w:cs="Arial"/>
            <w:color w:val="00000A"/>
            <w:sz w:val="20"/>
            <w:szCs w:val="20"/>
            <w:u w:val="none"/>
          </w:rPr>
          <w:t>WWW.cenedcursos.com.br/escolas-educacao-ambiental.html acessado em 05/08/2011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14">
        <w:r>
          <w:rPr>
            <w:rStyle w:val="LinkdaInternet"/>
            <w:rFonts w:ascii="Arial" w:hAnsi="Arial" w:cs="Arial"/>
            <w:color w:val="00000A"/>
            <w:sz w:val="20"/>
            <w:szCs w:val="20"/>
            <w:u w:val="none"/>
          </w:rPr>
          <w:t>WWW.googleacademico.com.br</w:t>
        </w:r>
      </w:hyperlink>
      <w:r>
        <w:rPr>
          <w:rFonts w:ascii="Arial" w:hAnsi="Arial" w:cs="Arial"/>
          <w:sz w:val="20"/>
          <w:szCs w:val="20"/>
        </w:rPr>
        <w:t xml:space="preserve"> acessado em 02/09/2011.</w:t>
      </w:r>
    </w:p>
    <w:p w:rsidR="00062A0E" w:rsidRDefault="00062A0E">
      <w:pPr>
        <w:pStyle w:val="Padro"/>
        <w:spacing w:after="0" w:line="360" w:lineRule="auto"/>
        <w:jc w:val="both"/>
      </w:pPr>
    </w:p>
    <w:p w:rsidR="00062A0E" w:rsidRDefault="001526BA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PEDRINI, Alexandre de Gusmão (org.), </w:t>
      </w:r>
      <w:r>
        <w:rPr>
          <w:rFonts w:ascii="Arial" w:hAnsi="Arial" w:cs="Arial"/>
          <w:b/>
          <w:sz w:val="20"/>
          <w:szCs w:val="20"/>
        </w:rPr>
        <w:t>Educação ambiental: reflexões e prá</w:t>
      </w:r>
      <w:r>
        <w:rPr>
          <w:rFonts w:ascii="Arial" w:hAnsi="Arial" w:cs="Arial"/>
          <w:b/>
          <w:sz w:val="20"/>
          <w:szCs w:val="20"/>
        </w:rPr>
        <w:t>ticas contemporâneas</w:t>
      </w:r>
      <w:r>
        <w:rPr>
          <w:rFonts w:ascii="Arial" w:hAnsi="Arial" w:cs="Arial"/>
          <w:sz w:val="20"/>
          <w:szCs w:val="20"/>
        </w:rPr>
        <w:t>. Petrópolis, Rio de janeiro: Vozes, 1997.</w:t>
      </w:r>
    </w:p>
    <w:sectPr w:rsidR="00062A0E">
      <w:pgSz w:w="11906" w:h="16838"/>
      <w:pgMar w:top="1701" w:right="1701" w:bottom="170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BA" w:rsidRDefault="001526BA">
      <w:pPr>
        <w:spacing w:after="0" w:line="240" w:lineRule="auto"/>
      </w:pPr>
      <w:r>
        <w:separator/>
      </w:r>
    </w:p>
  </w:endnote>
  <w:endnote w:type="continuationSeparator" w:id="0">
    <w:p w:rsidR="001526BA" w:rsidRDefault="0015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BA" w:rsidRDefault="001526BA">
      <w:pPr>
        <w:spacing w:after="0" w:line="240" w:lineRule="auto"/>
      </w:pPr>
      <w:r>
        <w:separator/>
      </w:r>
    </w:p>
  </w:footnote>
  <w:footnote w:type="continuationSeparator" w:id="0">
    <w:p w:rsidR="001526BA" w:rsidRDefault="001526BA">
      <w:pPr>
        <w:spacing w:after="0" w:line="240" w:lineRule="auto"/>
      </w:pPr>
      <w:r>
        <w:continuationSeparator/>
      </w:r>
    </w:p>
  </w:footnote>
  <w:footnote w:id="1">
    <w:p w:rsidR="00062A0E" w:rsidRDefault="001526BA">
      <w:pPr>
        <w:pStyle w:val="Padro"/>
        <w:spacing w:after="0" w:line="100" w:lineRule="atLeast"/>
        <w:jc w:val="both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rPr>
          <w:rFonts w:ascii="Arial-BoldMT" w:hAnsi="Arial-BoldMT" w:cs="Arial-BoldMT"/>
          <w:bCs/>
          <w:color w:val="000081"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Conforme diz o art. 1º da Lei n</w:t>
      </w:r>
      <w:r>
        <w:rPr>
          <w:rFonts w:ascii="Times New Roman" w:hAnsi="Times New Roman"/>
          <w:bCs/>
          <w:sz w:val="18"/>
          <w:szCs w:val="18"/>
          <w:vertAlign w:val="superscript"/>
        </w:rPr>
        <w:t>o</w:t>
      </w:r>
      <w:r>
        <w:rPr>
          <w:rFonts w:ascii="Times New Roman" w:hAnsi="Times New Roman"/>
          <w:bCs/>
          <w:sz w:val="18"/>
          <w:szCs w:val="18"/>
        </w:rPr>
        <w:t xml:space="preserve"> 9.795, de 27 de abril de 1999, </w:t>
      </w:r>
      <w:r>
        <w:rPr>
          <w:rFonts w:ascii="Times New Roman" w:hAnsi="Times New Roman"/>
          <w:sz w:val="18"/>
          <w:szCs w:val="18"/>
        </w:rPr>
        <w:t>entende-se por educação ambiental os processos por meio dos quais o indivíduo e a coletividade constroem valores sociais, conh</w:t>
      </w:r>
      <w:r>
        <w:rPr>
          <w:rFonts w:ascii="Times New Roman" w:hAnsi="Times New Roman"/>
          <w:sz w:val="18"/>
          <w:szCs w:val="18"/>
        </w:rPr>
        <w:t>ecimentos, habilidades, atitudes e competências voltadas para a conservação do meio ambiente, bem de uso comum do povo, essencial à sadia qualidade de vida e sua sustentabilidade.</w:t>
      </w:r>
    </w:p>
    <w:p w:rsidR="00062A0E" w:rsidRDefault="00062A0E">
      <w:pPr>
        <w:pStyle w:val="Notaderodap"/>
      </w:pPr>
    </w:p>
  </w:footnote>
  <w:footnote w:id="2">
    <w:p w:rsidR="00062A0E" w:rsidRDefault="001526BA">
      <w:pPr>
        <w:pStyle w:val="Textodenotaderodap"/>
      </w:pPr>
      <w:r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Style w:val="Refdenotaderodap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Aplicabilidade: derivação da palavra aplicação que é o ato ou efeito de </w:t>
      </w:r>
      <w:r>
        <w:rPr>
          <w:rFonts w:ascii="Arial" w:hAnsi="Arial" w:cs="Arial"/>
          <w:sz w:val="18"/>
          <w:szCs w:val="18"/>
        </w:rPr>
        <w:t>aplica-se; utilização, uso (Aurélio, 2005</w:t>
      </w:r>
      <w:proofErr w:type="gramStart"/>
      <w:r>
        <w:rPr>
          <w:rFonts w:ascii="Arial" w:hAnsi="Arial" w:cs="Arial"/>
          <w:sz w:val="18"/>
          <w:szCs w:val="18"/>
        </w:rPr>
        <w:t>)</w:t>
      </w:r>
      <w:proofErr w:type="gramEnd"/>
    </w:p>
    <w:p w:rsidR="00062A0E" w:rsidRDefault="00062A0E">
      <w:pPr>
        <w:pStyle w:val="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A0E"/>
    <w:rsid w:val="00062A0E"/>
    <w:rsid w:val="001526BA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TextodenotadefimChar">
    <w:name w:val="Texto de nota de fim Char"/>
    <w:basedOn w:val="Fontepargpadro"/>
    <w:rPr>
      <w:sz w:val="20"/>
      <w:szCs w:val="20"/>
    </w:rPr>
  </w:style>
  <w:style w:type="character" w:styleId="Refdenotadefim">
    <w:name w:val="endnote reference"/>
    <w:basedOn w:val="Fontepargpadro"/>
    <w:rPr>
      <w:vertAlign w:val="superscript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Caracteresdenotaderodap">
    <w:name w:val="Caracteres de nota de rodapé"/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ncoradenotadefim">
    <w:name w:val="Âncora de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Textodenotaderodap">
    <w:name w:val="footnote text"/>
    <w:basedOn w:val="Padro"/>
    <w:pPr>
      <w:spacing w:after="0" w:line="100" w:lineRule="atLeast"/>
    </w:pPr>
    <w:rPr>
      <w:sz w:val="20"/>
      <w:szCs w:val="20"/>
    </w:rPr>
  </w:style>
  <w:style w:type="paragraph" w:styleId="Textodenotadefim">
    <w:name w:val="endnote text"/>
    <w:basedOn w:val="Padro"/>
    <w:pPr>
      <w:spacing w:after="0" w:line="100" w:lineRule="atLeast"/>
    </w:pPr>
    <w:rPr>
      <w:sz w:val="20"/>
      <w:szCs w:val="20"/>
    </w:r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pPr>
      <w:ind w:left="720"/>
    </w:pPr>
  </w:style>
  <w:style w:type="paragraph" w:customStyle="1" w:styleId="Notaderodap">
    <w:name w:val="Nota de rodapé"/>
    <w:basedOn w:val="Padro"/>
    <w:pPr>
      <w:suppressLineNumbers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enedcursos.com.br/escolas-educacao-ambiental.html%20acessado%20em%2005/08/2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academic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2720</Words>
  <Characters>14690</Characters>
  <Application>Microsoft Office Word</Application>
  <DocSecurity>0</DocSecurity>
  <Lines>122</Lines>
  <Paragraphs>34</Paragraphs>
  <ScaleCrop>false</ScaleCrop>
  <Company/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jessica</cp:lastModifiedBy>
  <cp:revision>5</cp:revision>
  <dcterms:created xsi:type="dcterms:W3CDTF">2011-09-30T05:03:00Z</dcterms:created>
  <dcterms:modified xsi:type="dcterms:W3CDTF">2011-11-28T14:25:00Z</dcterms:modified>
</cp:coreProperties>
</file>