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5E" w:rsidRDefault="0047155E" w:rsidP="0047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155E">
        <w:rPr>
          <w:rFonts w:ascii="Arial" w:hAnsi="Arial" w:cs="Arial"/>
          <w:b/>
          <w:bCs/>
          <w:sz w:val="20"/>
          <w:szCs w:val="20"/>
        </w:rPr>
        <w:t>6CCSDFPPX05</w:t>
      </w:r>
      <w:proofErr w:type="gramEnd"/>
      <w:r w:rsidRPr="0047155E">
        <w:rPr>
          <w:rFonts w:ascii="Arial" w:hAnsi="Arial" w:cs="Arial"/>
          <w:b/>
          <w:bCs/>
          <w:sz w:val="20"/>
          <w:szCs w:val="20"/>
        </w:rPr>
        <w:t>-O</w:t>
      </w:r>
    </w:p>
    <w:p w:rsidR="001D3462" w:rsidRPr="0047155E" w:rsidRDefault="00956E18" w:rsidP="00B2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155E">
        <w:rPr>
          <w:rFonts w:ascii="Arial" w:hAnsi="Arial" w:cs="Arial"/>
          <w:b/>
          <w:bCs/>
          <w:sz w:val="20"/>
          <w:szCs w:val="20"/>
        </w:rPr>
        <w:t xml:space="preserve">DESAFIOS DO </w:t>
      </w:r>
      <w:r w:rsidRPr="0047155E">
        <w:rPr>
          <w:rFonts w:ascii="Arial" w:hAnsi="Arial" w:cs="Arial"/>
          <w:b/>
          <w:bCs/>
          <w:i/>
          <w:sz w:val="20"/>
          <w:szCs w:val="20"/>
        </w:rPr>
        <w:t>HIPERDIA</w:t>
      </w:r>
      <w:r w:rsidRPr="0047155E">
        <w:rPr>
          <w:rFonts w:ascii="Arial" w:hAnsi="Arial" w:cs="Arial"/>
          <w:b/>
          <w:bCs/>
          <w:sz w:val="20"/>
          <w:szCs w:val="20"/>
        </w:rPr>
        <w:t xml:space="preserve"> EM UMA UNIDADE SAÚDE DA FAMÍLIA</w:t>
      </w:r>
    </w:p>
    <w:p w:rsidR="00B209C0" w:rsidRPr="0047155E" w:rsidRDefault="00B209C0" w:rsidP="00B2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55E">
        <w:rPr>
          <w:rFonts w:ascii="Arial" w:hAnsi="Arial" w:cs="Arial"/>
          <w:bCs/>
          <w:sz w:val="20"/>
          <w:szCs w:val="20"/>
        </w:rPr>
        <w:t>Palomma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Stephane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Dias </w:t>
      </w:r>
      <w:proofErr w:type="gramStart"/>
      <w:r w:rsidRPr="0047155E">
        <w:rPr>
          <w:rFonts w:ascii="Arial" w:hAnsi="Arial" w:cs="Arial"/>
          <w:bCs/>
          <w:sz w:val="20"/>
          <w:szCs w:val="20"/>
        </w:rPr>
        <w:t>Gomes(</w:t>
      </w:r>
      <w:proofErr w:type="gramEnd"/>
      <w:r w:rsidRPr="0047155E">
        <w:rPr>
          <w:rFonts w:ascii="Arial" w:hAnsi="Arial" w:cs="Arial"/>
          <w:bCs/>
          <w:sz w:val="20"/>
          <w:szCs w:val="20"/>
        </w:rPr>
        <w:t>1)</w:t>
      </w:r>
      <w:r w:rsidR="00244BB0" w:rsidRPr="0047155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244BB0" w:rsidRPr="0047155E">
        <w:rPr>
          <w:rFonts w:ascii="Arial" w:hAnsi="Arial" w:cs="Arial"/>
          <w:bCs/>
          <w:sz w:val="20"/>
          <w:szCs w:val="20"/>
        </w:rPr>
        <w:t>Á</w:t>
      </w:r>
      <w:r w:rsidRPr="0047155E">
        <w:rPr>
          <w:rFonts w:ascii="Arial" w:hAnsi="Arial" w:cs="Arial"/>
          <w:bCs/>
          <w:sz w:val="20"/>
          <w:szCs w:val="20"/>
        </w:rPr>
        <w:t>dilla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Ramalho Marques Galvão(2), Alexandra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Salviano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Barbosa(2), Aline Cristina Abrantes Formiga(2), Ana Luísa Bonfim Rafael(2), Caio César Nuto Leite França(2), Carolina Campos Brito(2),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Dyego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André Freitas Barbosa(2),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Elayni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Enoly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Sousa Franco(2),</w:t>
      </w:r>
      <w:r w:rsidR="0047155E">
        <w:rPr>
          <w:rFonts w:ascii="Arial" w:hAnsi="Arial" w:cs="Arial"/>
          <w:bCs/>
          <w:sz w:val="20"/>
          <w:szCs w:val="20"/>
        </w:rPr>
        <w:t xml:space="preserve"> </w:t>
      </w:r>
      <w:r w:rsidRPr="0047155E">
        <w:rPr>
          <w:rFonts w:ascii="Arial" w:hAnsi="Arial" w:cs="Arial"/>
          <w:bCs/>
          <w:sz w:val="20"/>
          <w:szCs w:val="20"/>
        </w:rPr>
        <w:t xml:space="preserve">Gabriela Albuquerque Batista de Araújo(2),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Gilvandra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de Fátima Oliveira de Azevedo(2),</w:t>
      </w:r>
      <w:r w:rsidR="0047155E">
        <w:rPr>
          <w:rFonts w:ascii="Arial" w:hAnsi="Arial" w:cs="Arial"/>
          <w:bCs/>
          <w:sz w:val="20"/>
          <w:szCs w:val="20"/>
        </w:rPr>
        <w:t xml:space="preserve"> </w:t>
      </w:r>
      <w:r w:rsidRPr="0047155E">
        <w:rPr>
          <w:rFonts w:ascii="Arial" w:hAnsi="Arial" w:cs="Arial"/>
          <w:bCs/>
          <w:sz w:val="20"/>
          <w:szCs w:val="20"/>
        </w:rPr>
        <w:t xml:space="preserve">Helder da Silva Santos(2), Isadora Silveira Xavier(2), Lidiane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Felizmino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de Araújo(2),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L</w:t>
      </w:r>
      <w:r w:rsidR="009F0B79" w:rsidRPr="0047155E">
        <w:rPr>
          <w:rFonts w:ascii="Arial" w:hAnsi="Arial" w:cs="Arial"/>
          <w:bCs/>
          <w:sz w:val="20"/>
          <w:szCs w:val="20"/>
        </w:rPr>
        <w:t>í</w:t>
      </w:r>
      <w:r w:rsidRPr="0047155E">
        <w:rPr>
          <w:rFonts w:ascii="Arial" w:hAnsi="Arial" w:cs="Arial"/>
          <w:bCs/>
          <w:sz w:val="20"/>
          <w:szCs w:val="20"/>
        </w:rPr>
        <w:t>llian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Fernandes de Araújo(2),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Pollyana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Clara Gomes Silva(2), </w:t>
      </w:r>
    </w:p>
    <w:p w:rsidR="00B209C0" w:rsidRPr="0047155E" w:rsidRDefault="00B209C0" w:rsidP="00B2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7155E">
        <w:rPr>
          <w:rFonts w:ascii="Arial" w:hAnsi="Arial" w:cs="Arial"/>
          <w:bCs/>
          <w:sz w:val="20"/>
          <w:szCs w:val="20"/>
        </w:rPr>
        <w:t xml:space="preserve">Priscila Laís Ferreira Gomes(2), Renata Vasconcelos Guedes(2), Rodrigo Félix Gurgel(2), Roselaine Clementino da Silva(2), Vanessa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Suênia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Dantas da Silva(2), Fernanda Burle de Aguiar(3), Cristine </w:t>
      </w:r>
      <w:proofErr w:type="spellStart"/>
      <w:r w:rsidRPr="0047155E">
        <w:rPr>
          <w:rFonts w:ascii="Arial" w:hAnsi="Arial" w:cs="Arial"/>
          <w:bCs/>
          <w:sz w:val="20"/>
          <w:szCs w:val="20"/>
        </w:rPr>
        <w:t>Hirsch</w:t>
      </w:r>
      <w:proofErr w:type="spellEnd"/>
      <w:r w:rsidRPr="0047155E">
        <w:rPr>
          <w:rFonts w:ascii="Arial" w:hAnsi="Arial" w:cs="Arial"/>
          <w:bCs/>
          <w:sz w:val="20"/>
          <w:szCs w:val="20"/>
        </w:rPr>
        <w:t xml:space="preserve"> Monteiro(3).</w:t>
      </w:r>
      <w:bookmarkStart w:id="0" w:name="_GoBack"/>
      <w:bookmarkEnd w:id="0"/>
    </w:p>
    <w:p w:rsidR="00B209C0" w:rsidRPr="0047155E" w:rsidRDefault="00B209C0" w:rsidP="00B209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7155E">
        <w:rPr>
          <w:rFonts w:ascii="Arial" w:hAnsi="Arial" w:cs="Arial"/>
          <w:bCs/>
          <w:sz w:val="20"/>
          <w:szCs w:val="20"/>
        </w:rPr>
        <w:t>Centro de Ciências da Saúde / Departamento de Fisiologia e Patologia / PROBEX</w:t>
      </w:r>
    </w:p>
    <w:p w:rsidR="00B209C0" w:rsidRPr="0047155E" w:rsidRDefault="00B209C0" w:rsidP="00B2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2CD4" w:rsidRPr="0047155E" w:rsidRDefault="00122CD4" w:rsidP="00B209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8393F" w:rsidRPr="0047155E" w:rsidRDefault="00ED6750" w:rsidP="001D2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RESUMO</w:t>
      </w:r>
      <w:r w:rsidR="009F0B79" w:rsidRPr="0047155E">
        <w:rPr>
          <w:rFonts w:ascii="Arial" w:hAnsi="Arial" w:cs="Arial"/>
          <w:b/>
          <w:sz w:val="20"/>
          <w:szCs w:val="20"/>
        </w:rPr>
        <w:t>:</w:t>
      </w:r>
      <w:r w:rsidR="001D296C" w:rsidRPr="0047155E">
        <w:rPr>
          <w:rFonts w:ascii="Arial" w:hAnsi="Arial" w:cs="Arial"/>
          <w:b/>
          <w:sz w:val="20"/>
          <w:szCs w:val="20"/>
        </w:rPr>
        <w:t xml:space="preserve"> </w:t>
      </w:r>
    </w:p>
    <w:p w:rsidR="006F7DE4" w:rsidRPr="0047155E" w:rsidRDefault="001D296C" w:rsidP="001D29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INTRODUÇÃO: O </w:t>
      </w:r>
      <w:proofErr w:type="spellStart"/>
      <w:proofErr w:type="gramStart"/>
      <w:r w:rsidRPr="0047155E">
        <w:rPr>
          <w:rFonts w:ascii="Arial" w:hAnsi="Arial" w:cs="Arial"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é um programa da atenção básica voltado ao acompanhamento de hipertensos e diabéticos. OBJETIVO: Este estudo exploratório, descritivo e quantitativo, tem como objetivo identificar e apresentar os desafios no controle da hipertensão e Diabetes Mellitus na comunidade assistida pela Unidade Saúde da Família (UFS) Timbó II. DESCRIÇÃO METODOLÓGICA: A coleta de dados, realizada em junho de 2011, usou pesquisa documental (prontuários) e entrevista com a Equipe de profissionais da USF Timbó II. RESULTADOS: </w:t>
      </w:r>
      <w:r w:rsidR="0068393F" w:rsidRPr="0047155E">
        <w:rPr>
          <w:rFonts w:ascii="Arial" w:hAnsi="Arial" w:cs="Arial"/>
          <w:sz w:val="20"/>
          <w:szCs w:val="20"/>
        </w:rPr>
        <w:t>Dentre os 182 prontuários, f</w:t>
      </w:r>
      <w:r w:rsidRPr="0047155E">
        <w:rPr>
          <w:rFonts w:ascii="Arial" w:hAnsi="Arial" w:cs="Arial"/>
          <w:sz w:val="20"/>
          <w:szCs w:val="20"/>
        </w:rPr>
        <w:t xml:space="preserve">oram identificados 56 </w:t>
      </w:r>
      <w:r w:rsidR="0068393F" w:rsidRPr="0047155E">
        <w:rPr>
          <w:rFonts w:ascii="Arial" w:hAnsi="Arial" w:cs="Arial"/>
          <w:sz w:val="20"/>
          <w:szCs w:val="20"/>
        </w:rPr>
        <w:t>(30,8%) referentes a</w:t>
      </w:r>
      <w:r w:rsidRPr="0047155E">
        <w:rPr>
          <w:rFonts w:ascii="Arial" w:hAnsi="Arial" w:cs="Arial"/>
          <w:sz w:val="20"/>
          <w:szCs w:val="20"/>
        </w:rPr>
        <w:t xml:space="preserve"> usuários </w:t>
      </w:r>
      <w:r w:rsidR="0068393F" w:rsidRPr="0047155E">
        <w:rPr>
          <w:rFonts w:ascii="Arial" w:hAnsi="Arial" w:cs="Arial"/>
          <w:sz w:val="20"/>
          <w:szCs w:val="20"/>
        </w:rPr>
        <w:t xml:space="preserve">ausentes ao </w:t>
      </w:r>
      <w:proofErr w:type="spellStart"/>
      <w:proofErr w:type="gramStart"/>
      <w:r w:rsidR="0068393F" w:rsidRPr="0047155E">
        <w:rPr>
          <w:rFonts w:ascii="Arial" w:hAnsi="Arial" w:cs="Arial"/>
          <w:sz w:val="20"/>
          <w:szCs w:val="20"/>
        </w:rPr>
        <w:t>HiperDia</w:t>
      </w:r>
      <w:proofErr w:type="spellEnd"/>
      <w:proofErr w:type="gramEnd"/>
      <w:r w:rsidR="0068393F" w:rsidRPr="0047155E">
        <w:rPr>
          <w:rFonts w:ascii="Arial" w:hAnsi="Arial" w:cs="Arial"/>
          <w:sz w:val="20"/>
          <w:szCs w:val="20"/>
        </w:rPr>
        <w:t xml:space="preserve"> entre</w:t>
      </w:r>
      <w:r w:rsidRPr="0047155E">
        <w:rPr>
          <w:rFonts w:ascii="Arial" w:hAnsi="Arial" w:cs="Arial"/>
          <w:sz w:val="20"/>
          <w:szCs w:val="20"/>
        </w:rPr>
        <w:t xml:space="preserve"> 1 </w:t>
      </w:r>
      <w:r w:rsidR="0068393F" w:rsidRPr="0047155E">
        <w:rPr>
          <w:rFonts w:ascii="Arial" w:hAnsi="Arial" w:cs="Arial"/>
          <w:sz w:val="20"/>
          <w:szCs w:val="20"/>
        </w:rPr>
        <w:t>e 12 meses</w:t>
      </w:r>
      <w:r w:rsidRPr="0047155E">
        <w:rPr>
          <w:rFonts w:ascii="Arial" w:hAnsi="Arial" w:cs="Arial"/>
          <w:sz w:val="20"/>
          <w:szCs w:val="20"/>
        </w:rPr>
        <w:t xml:space="preserve">. </w:t>
      </w:r>
      <w:r w:rsidR="0068393F" w:rsidRPr="0047155E">
        <w:rPr>
          <w:rFonts w:ascii="Arial" w:hAnsi="Arial" w:cs="Arial"/>
          <w:sz w:val="20"/>
          <w:szCs w:val="20"/>
        </w:rPr>
        <w:t>Em setembro de 2011, a</w:t>
      </w:r>
      <w:r w:rsidRPr="0047155E">
        <w:rPr>
          <w:rFonts w:ascii="Arial" w:hAnsi="Arial" w:cs="Arial"/>
          <w:sz w:val="20"/>
          <w:szCs w:val="20"/>
        </w:rPr>
        <w:t xml:space="preserve"> Equipe da USF</w:t>
      </w:r>
      <w:r w:rsidR="0068393F" w:rsidRPr="0047155E">
        <w:rPr>
          <w:rFonts w:ascii="Arial" w:hAnsi="Arial" w:cs="Arial"/>
          <w:sz w:val="20"/>
          <w:szCs w:val="20"/>
        </w:rPr>
        <w:t>,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="0068393F" w:rsidRPr="0047155E">
        <w:rPr>
          <w:rFonts w:ascii="Arial" w:hAnsi="Arial" w:cs="Arial"/>
          <w:sz w:val="20"/>
          <w:szCs w:val="20"/>
        </w:rPr>
        <w:t xml:space="preserve">juntamente com os extensionistas, </w:t>
      </w:r>
      <w:r w:rsidRPr="0047155E">
        <w:rPr>
          <w:rFonts w:ascii="Arial" w:hAnsi="Arial" w:cs="Arial"/>
          <w:sz w:val="20"/>
          <w:szCs w:val="20"/>
        </w:rPr>
        <w:t>identific</w:t>
      </w:r>
      <w:r w:rsidR="0068393F" w:rsidRPr="0047155E">
        <w:rPr>
          <w:rFonts w:ascii="Arial" w:hAnsi="Arial" w:cs="Arial"/>
          <w:sz w:val="20"/>
          <w:szCs w:val="20"/>
        </w:rPr>
        <w:t>ou, após análise dos prontuários,</w:t>
      </w:r>
      <w:r w:rsidRPr="0047155E">
        <w:rPr>
          <w:rFonts w:ascii="Arial" w:hAnsi="Arial" w:cs="Arial"/>
          <w:sz w:val="20"/>
          <w:szCs w:val="20"/>
        </w:rPr>
        <w:t xml:space="preserve"> que a maioria dos usuários ausentes no </w:t>
      </w:r>
      <w:proofErr w:type="spellStart"/>
      <w:proofErr w:type="gramStart"/>
      <w:r w:rsidRPr="0047155E">
        <w:rPr>
          <w:rFonts w:ascii="Arial" w:hAnsi="Arial" w:cs="Arial"/>
          <w:sz w:val="20"/>
          <w:szCs w:val="20"/>
        </w:rPr>
        <w:t>HiperDia</w:t>
      </w:r>
      <w:proofErr w:type="spellEnd"/>
      <w:proofErr w:type="gramEnd"/>
      <w:r w:rsidR="0068393F" w:rsidRPr="0047155E">
        <w:rPr>
          <w:rFonts w:ascii="Arial" w:hAnsi="Arial" w:cs="Arial"/>
          <w:sz w:val="20"/>
          <w:szCs w:val="20"/>
        </w:rPr>
        <w:t>,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="0068393F" w:rsidRPr="0047155E">
        <w:rPr>
          <w:rFonts w:ascii="Arial" w:hAnsi="Arial" w:cs="Arial"/>
          <w:sz w:val="20"/>
          <w:szCs w:val="20"/>
        </w:rPr>
        <w:t xml:space="preserve">na época da coleta, </w:t>
      </w:r>
      <w:r w:rsidRPr="0047155E">
        <w:rPr>
          <w:rFonts w:ascii="Arial" w:hAnsi="Arial" w:cs="Arial"/>
          <w:sz w:val="20"/>
          <w:szCs w:val="20"/>
        </w:rPr>
        <w:t xml:space="preserve">compareceu à USF em julho e que uma outra parcela de prontuários estava desatualizada. </w:t>
      </w:r>
      <w:r w:rsidR="0068393F" w:rsidRPr="0047155E">
        <w:rPr>
          <w:rFonts w:ascii="Arial" w:hAnsi="Arial" w:cs="Arial"/>
          <w:sz w:val="20"/>
          <w:szCs w:val="20"/>
        </w:rPr>
        <w:t>Outra</w:t>
      </w:r>
      <w:r w:rsidRPr="0047155E">
        <w:rPr>
          <w:rFonts w:ascii="Arial" w:hAnsi="Arial" w:cs="Arial"/>
          <w:sz w:val="20"/>
          <w:szCs w:val="20"/>
        </w:rPr>
        <w:t xml:space="preserve"> parcela de usuários cadastrados no </w:t>
      </w:r>
      <w:proofErr w:type="spellStart"/>
      <w:proofErr w:type="gramStart"/>
      <w:r w:rsidRPr="0047155E">
        <w:rPr>
          <w:rFonts w:ascii="Arial" w:hAnsi="Arial" w:cs="Arial"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era ausente por conta do que a Equipe chama de “rebeldia”, ou seja, por opção pessoal ou rejeição à ideia de uso de medicação. Outros conseguem a medicação noutras USF ou mesmo compram a medicação. Apenas </w:t>
      </w:r>
      <w:proofErr w:type="gramStart"/>
      <w:r w:rsidRPr="0047155E">
        <w:rPr>
          <w:rFonts w:ascii="Arial" w:hAnsi="Arial" w:cs="Arial"/>
          <w:sz w:val="20"/>
          <w:szCs w:val="20"/>
        </w:rPr>
        <w:t>5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usuário</w:t>
      </w:r>
      <w:r w:rsidR="0068393F" w:rsidRPr="0047155E">
        <w:rPr>
          <w:rFonts w:ascii="Arial" w:hAnsi="Arial" w:cs="Arial"/>
          <w:sz w:val="20"/>
          <w:szCs w:val="20"/>
        </w:rPr>
        <w:t>s, dentre os 56 prontuários levantado</w:t>
      </w:r>
      <w:r w:rsidRPr="0047155E">
        <w:rPr>
          <w:rFonts w:ascii="Arial" w:hAnsi="Arial" w:cs="Arial"/>
          <w:sz w:val="20"/>
          <w:szCs w:val="20"/>
        </w:rPr>
        <w:t>s</w:t>
      </w:r>
      <w:r w:rsidR="0068393F" w:rsidRPr="0047155E">
        <w:rPr>
          <w:rFonts w:ascii="Arial" w:hAnsi="Arial" w:cs="Arial"/>
          <w:sz w:val="20"/>
          <w:szCs w:val="20"/>
        </w:rPr>
        <w:t xml:space="preserve">, </w:t>
      </w:r>
      <w:r w:rsidRPr="0047155E">
        <w:rPr>
          <w:rFonts w:ascii="Arial" w:hAnsi="Arial" w:cs="Arial"/>
          <w:sz w:val="20"/>
          <w:szCs w:val="20"/>
        </w:rPr>
        <w:t xml:space="preserve">estavam realmente ausentes às ações do </w:t>
      </w:r>
      <w:proofErr w:type="spellStart"/>
      <w:r w:rsidRPr="0047155E">
        <w:rPr>
          <w:rFonts w:ascii="Arial" w:hAnsi="Arial" w:cs="Arial"/>
          <w:sz w:val="20"/>
          <w:szCs w:val="20"/>
        </w:rPr>
        <w:t>HiperDia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no último ano</w:t>
      </w:r>
      <w:r w:rsidR="005C78FE" w:rsidRPr="0047155E">
        <w:rPr>
          <w:rFonts w:ascii="Arial" w:hAnsi="Arial" w:cs="Arial"/>
          <w:sz w:val="20"/>
          <w:szCs w:val="20"/>
        </w:rPr>
        <w:t xml:space="preserve"> e, c</w:t>
      </w:r>
      <w:r w:rsidRPr="0047155E">
        <w:rPr>
          <w:rFonts w:ascii="Arial" w:hAnsi="Arial" w:cs="Arial"/>
          <w:sz w:val="20"/>
          <w:szCs w:val="20"/>
        </w:rPr>
        <w:t xml:space="preserve">omo encaminhamentos, a Equipe da USF Timbó II se comprometeu em visitá-los e saber o motivo da ausência para que providências cabíveis possam ser tomadas. A Equipe da USF Timbó II, envolvida com a visita domiciliar, reconheceu a necessidade de se empenhar mais com os registros para manterem os prontuários atualizados. CONCLUSÃO: Deste modo, a parceria entre extensionistas e Equipe da USF Timbó II, que vem tendo êxito desde 2007, se confirma como um espaço para a reflexão da prática do atual </w:t>
      </w:r>
      <w:r w:rsidR="0068393F" w:rsidRPr="0047155E">
        <w:rPr>
          <w:rFonts w:ascii="Arial" w:hAnsi="Arial" w:cs="Arial"/>
          <w:sz w:val="20"/>
          <w:szCs w:val="20"/>
        </w:rPr>
        <w:t xml:space="preserve">e </w:t>
      </w:r>
      <w:r w:rsidRPr="0047155E">
        <w:rPr>
          <w:rFonts w:ascii="Arial" w:hAnsi="Arial" w:cs="Arial"/>
          <w:sz w:val="20"/>
          <w:szCs w:val="20"/>
        </w:rPr>
        <w:t>do futuro profissional de saúde.</w:t>
      </w:r>
    </w:p>
    <w:p w:rsidR="001D296C" w:rsidRPr="0047155E" w:rsidRDefault="001D296C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AD194E" w:rsidRPr="0047155E" w:rsidRDefault="00ED6750" w:rsidP="006839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PALAVRAS CHAVE</w:t>
      </w:r>
      <w:r w:rsidR="009F0B79" w:rsidRPr="0047155E">
        <w:rPr>
          <w:rFonts w:ascii="Arial" w:hAnsi="Arial" w:cs="Arial"/>
          <w:b/>
          <w:sz w:val="20"/>
          <w:szCs w:val="20"/>
        </w:rPr>
        <w:t xml:space="preserve">: </w:t>
      </w:r>
      <w:r w:rsidR="00B731C1" w:rsidRPr="0047155E">
        <w:rPr>
          <w:rFonts w:ascii="Arial" w:hAnsi="Arial" w:cs="Arial"/>
          <w:sz w:val="20"/>
          <w:szCs w:val="20"/>
        </w:rPr>
        <w:t>Atenção primária à saúde, hiper</w:t>
      </w:r>
      <w:r w:rsidR="00956E18" w:rsidRPr="0047155E">
        <w:rPr>
          <w:rFonts w:ascii="Arial" w:hAnsi="Arial" w:cs="Arial"/>
          <w:sz w:val="20"/>
          <w:szCs w:val="20"/>
        </w:rPr>
        <w:t>tensão</w:t>
      </w:r>
      <w:r w:rsidR="00AD194E" w:rsidRPr="0047155E">
        <w:rPr>
          <w:rFonts w:ascii="Arial" w:hAnsi="Arial" w:cs="Arial"/>
          <w:sz w:val="20"/>
          <w:szCs w:val="20"/>
        </w:rPr>
        <w:t xml:space="preserve">, </w:t>
      </w:r>
      <w:r w:rsidR="00956E18" w:rsidRPr="0047155E">
        <w:rPr>
          <w:rFonts w:ascii="Arial" w:hAnsi="Arial" w:cs="Arial"/>
          <w:sz w:val="20"/>
          <w:szCs w:val="20"/>
        </w:rPr>
        <w:t>D</w:t>
      </w:r>
      <w:r w:rsidR="00B731C1" w:rsidRPr="0047155E">
        <w:rPr>
          <w:rFonts w:ascii="Arial" w:hAnsi="Arial" w:cs="Arial"/>
          <w:sz w:val="20"/>
          <w:szCs w:val="20"/>
        </w:rPr>
        <w:t>ia</w:t>
      </w:r>
      <w:r w:rsidR="00AD194E" w:rsidRPr="0047155E">
        <w:rPr>
          <w:rFonts w:ascii="Arial" w:hAnsi="Arial" w:cs="Arial"/>
          <w:sz w:val="20"/>
          <w:szCs w:val="20"/>
        </w:rPr>
        <w:t>bete</w:t>
      </w:r>
      <w:r w:rsidR="00956E18" w:rsidRPr="0047155E">
        <w:rPr>
          <w:rFonts w:ascii="Arial" w:hAnsi="Arial" w:cs="Arial"/>
          <w:sz w:val="20"/>
          <w:szCs w:val="20"/>
        </w:rPr>
        <w:t>s</w:t>
      </w:r>
      <w:r w:rsidR="00AD194E" w:rsidRPr="0047155E">
        <w:rPr>
          <w:rFonts w:ascii="Arial" w:hAnsi="Arial" w:cs="Arial"/>
          <w:sz w:val="20"/>
          <w:szCs w:val="20"/>
        </w:rPr>
        <w:t xml:space="preserve"> </w:t>
      </w:r>
      <w:r w:rsidR="00956E18" w:rsidRPr="0047155E">
        <w:rPr>
          <w:rFonts w:ascii="Arial" w:hAnsi="Arial" w:cs="Arial"/>
          <w:sz w:val="20"/>
          <w:szCs w:val="20"/>
        </w:rPr>
        <w:t>M</w:t>
      </w:r>
      <w:r w:rsidR="00AD194E" w:rsidRPr="0047155E">
        <w:rPr>
          <w:rFonts w:ascii="Arial" w:hAnsi="Arial" w:cs="Arial"/>
          <w:sz w:val="20"/>
          <w:szCs w:val="20"/>
        </w:rPr>
        <w:t>e</w:t>
      </w:r>
      <w:r w:rsidR="00956E18" w:rsidRPr="0047155E">
        <w:rPr>
          <w:rFonts w:ascii="Arial" w:hAnsi="Arial" w:cs="Arial"/>
          <w:sz w:val="20"/>
          <w:szCs w:val="20"/>
        </w:rPr>
        <w:t>l</w:t>
      </w:r>
      <w:r w:rsidR="00AD194E" w:rsidRPr="0047155E">
        <w:rPr>
          <w:rFonts w:ascii="Arial" w:hAnsi="Arial" w:cs="Arial"/>
          <w:sz w:val="20"/>
          <w:szCs w:val="20"/>
        </w:rPr>
        <w:t>lit</w:t>
      </w:r>
      <w:r w:rsidR="00956E18" w:rsidRPr="0047155E">
        <w:rPr>
          <w:rFonts w:ascii="Arial" w:hAnsi="Arial" w:cs="Arial"/>
          <w:sz w:val="20"/>
          <w:szCs w:val="20"/>
        </w:rPr>
        <w:t>us</w:t>
      </w:r>
      <w:r w:rsidR="00B731C1" w:rsidRPr="0047155E">
        <w:rPr>
          <w:rFonts w:ascii="Arial" w:hAnsi="Arial" w:cs="Arial"/>
          <w:sz w:val="20"/>
          <w:szCs w:val="20"/>
        </w:rPr>
        <w:t xml:space="preserve">, </w:t>
      </w:r>
      <w:r w:rsidR="0068393F" w:rsidRPr="0047155E">
        <w:rPr>
          <w:rFonts w:ascii="Arial" w:hAnsi="Arial" w:cs="Arial"/>
          <w:sz w:val="20"/>
          <w:szCs w:val="20"/>
        </w:rPr>
        <w:t>r</w:t>
      </w:r>
      <w:r w:rsidR="00956E18" w:rsidRPr="0047155E">
        <w:rPr>
          <w:rFonts w:ascii="Arial" w:hAnsi="Arial" w:cs="Arial"/>
          <w:sz w:val="20"/>
          <w:szCs w:val="20"/>
        </w:rPr>
        <w:t>elações comunidade-instituição</w:t>
      </w:r>
      <w:r w:rsidR="00182B04" w:rsidRPr="0047155E">
        <w:rPr>
          <w:rFonts w:ascii="Arial" w:hAnsi="Arial" w:cs="Arial"/>
          <w:sz w:val="20"/>
          <w:szCs w:val="20"/>
        </w:rPr>
        <w:t>.</w:t>
      </w:r>
    </w:p>
    <w:p w:rsidR="009F0B79" w:rsidRPr="0047155E" w:rsidRDefault="009F0B79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F0B79" w:rsidRPr="0047155E" w:rsidRDefault="009F0B79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_________________________</w:t>
      </w:r>
    </w:p>
    <w:p w:rsidR="009F0B79" w:rsidRPr="0047155E" w:rsidRDefault="009F0B79" w:rsidP="00180A20">
      <w:pPr>
        <w:pStyle w:val="Rodap"/>
        <w:numPr>
          <w:ilvl w:val="0"/>
          <w:numId w:val="3"/>
        </w:numPr>
        <w:tabs>
          <w:tab w:val="clear" w:pos="425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47155E">
        <w:rPr>
          <w:rFonts w:ascii="Arial" w:hAnsi="Arial" w:cs="Arial"/>
          <w:sz w:val="20"/>
          <w:szCs w:val="20"/>
        </w:rPr>
        <w:t>Extensionista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bolsista</w:t>
      </w:r>
    </w:p>
    <w:p w:rsidR="009F0B79" w:rsidRPr="0047155E" w:rsidRDefault="009F0B79" w:rsidP="00180A20">
      <w:pPr>
        <w:pStyle w:val="Rodap"/>
        <w:numPr>
          <w:ilvl w:val="0"/>
          <w:numId w:val="3"/>
        </w:numPr>
        <w:tabs>
          <w:tab w:val="clear" w:pos="425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47155E">
        <w:rPr>
          <w:rFonts w:ascii="Arial" w:hAnsi="Arial" w:cs="Arial"/>
          <w:sz w:val="20"/>
          <w:szCs w:val="20"/>
        </w:rPr>
        <w:t>Extensionista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colaborador</w:t>
      </w:r>
    </w:p>
    <w:p w:rsidR="00ED6750" w:rsidRPr="0047155E" w:rsidRDefault="009F0B79" w:rsidP="00180A20">
      <w:pPr>
        <w:pStyle w:val="Rodap"/>
        <w:numPr>
          <w:ilvl w:val="0"/>
          <w:numId w:val="3"/>
        </w:numPr>
        <w:tabs>
          <w:tab w:val="clear" w:pos="4252"/>
          <w:tab w:val="left" w:pos="284"/>
        </w:tabs>
        <w:ind w:left="0" w:firstLine="0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Professor Orientador/Coordenador </w:t>
      </w:r>
      <w:r w:rsidR="00182B04" w:rsidRPr="0047155E">
        <w:rPr>
          <w:rFonts w:ascii="Arial" w:hAnsi="Arial" w:cs="Arial"/>
          <w:b/>
          <w:sz w:val="20"/>
          <w:szCs w:val="20"/>
        </w:rPr>
        <w:br w:type="column"/>
      </w:r>
      <w:r w:rsidR="00ED6750" w:rsidRPr="0047155E"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323814" w:rsidRPr="0047155E" w:rsidRDefault="00323814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C6012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A Estratégia Saúde da Família (ESF) tem sido a principal porta de entrada dos usuários na atenção básica à saúde no sistema nacional vigente, Sistema Único de Saúde (SUS), em implementação desde a década de 1990 (</w:t>
      </w:r>
      <w:r w:rsidR="0045279E" w:rsidRPr="0047155E">
        <w:rPr>
          <w:rFonts w:ascii="Arial" w:hAnsi="Arial" w:cs="Arial"/>
          <w:sz w:val="20"/>
          <w:szCs w:val="20"/>
        </w:rPr>
        <w:t xml:space="preserve">PICCINI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="0045279E" w:rsidRPr="0047155E">
        <w:rPr>
          <w:rFonts w:ascii="Arial" w:hAnsi="Arial" w:cs="Arial"/>
          <w:sz w:val="20"/>
          <w:szCs w:val="20"/>
        </w:rPr>
        <w:t>., 2006</w:t>
      </w:r>
      <w:r w:rsidRPr="0047155E">
        <w:rPr>
          <w:rFonts w:ascii="Arial" w:hAnsi="Arial" w:cs="Arial"/>
          <w:sz w:val="20"/>
          <w:szCs w:val="20"/>
        </w:rPr>
        <w:t xml:space="preserve">). </w:t>
      </w:r>
      <w:r w:rsidR="00C96A5E" w:rsidRPr="0047155E">
        <w:rPr>
          <w:rFonts w:ascii="Arial" w:hAnsi="Arial" w:cs="Arial"/>
          <w:sz w:val="20"/>
          <w:szCs w:val="20"/>
        </w:rPr>
        <w:t>Grande</w:t>
      </w:r>
      <w:r w:rsidRPr="0047155E">
        <w:rPr>
          <w:rFonts w:ascii="Arial" w:hAnsi="Arial" w:cs="Arial"/>
          <w:sz w:val="20"/>
          <w:szCs w:val="20"/>
        </w:rPr>
        <w:t xml:space="preserve"> desafio para as Equipes de Profissionais das Unidades Saúde da Família (USF) tem sido garantir o acesso e atendimento humanizado de qualidade a uma demanda reprimida por décadas de exclusão (</w:t>
      </w:r>
      <w:r w:rsidR="0045279E" w:rsidRPr="0047155E">
        <w:rPr>
          <w:rFonts w:ascii="Arial" w:hAnsi="Arial" w:cs="Arial"/>
          <w:sz w:val="20"/>
          <w:szCs w:val="20"/>
        </w:rPr>
        <w:t xml:space="preserve">CONTIERO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="0045279E" w:rsidRPr="0047155E">
        <w:rPr>
          <w:rFonts w:ascii="Arial" w:hAnsi="Arial" w:cs="Arial"/>
          <w:sz w:val="20"/>
          <w:szCs w:val="20"/>
        </w:rPr>
        <w:t>., 2009</w:t>
      </w:r>
      <w:r w:rsidR="00DB7176" w:rsidRPr="0047155E">
        <w:rPr>
          <w:rFonts w:ascii="Arial" w:hAnsi="Arial" w:cs="Arial"/>
          <w:sz w:val="20"/>
          <w:szCs w:val="20"/>
        </w:rPr>
        <w:t>; ROCHA, 2010</w:t>
      </w:r>
      <w:r w:rsidRPr="0047155E">
        <w:rPr>
          <w:rFonts w:ascii="Arial" w:hAnsi="Arial" w:cs="Arial"/>
          <w:sz w:val="20"/>
          <w:szCs w:val="20"/>
        </w:rPr>
        <w:t>).</w:t>
      </w:r>
    </w:p>
    <w:p w:rsidR="00323814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Buscando ampliar o acesso e organizar a demanda, as Equipes, seguindo diretrizes do SUS para os diferentes grupos e programas, abrem as USF para a atenção aos portadores de doenças crônicas não transmissíveis (</w:t>
      </w:r>
      <w:r w:rsidR="00DB7176" w:rsidRPr="0047155E">
        <w:rPr>
          <w:rFonts w:ascii="Arial" w:hAnsi="Arial" w:cs="Arial"/>
          <w:sz w:val="20"/>
          <w:szCs w:val="20"/>
        </w:rPr>
        <w:t xml:space="preserve">RODRIGUES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="00DB7176" w:rsidRPr="0047155E">
        <w:rPr>
          <w:rFonts w:ascii="Arial" w:hAnsi="Arial" w:cs="Arial"/>
          <w:sz w:val="20"/>
          <w:szCs w:val="20"/>
        </w:rPr>
        <w:t xml:space="preserve">., 2009; </w:t>
      </w:r>
      <w:r w:rsidR="006134F4" w:rsidRPr="0047155E">
        <w:rPr>
          <w:rFonts w:ascii="Arial" w:hAnsi="Arial" w:cs="Arial"/>
          <w:sz w:val="20"/>
          <w:szCs w:val="20"/>
        </w:rPr>
        <w:t>SILVESTRE, COSTA NETO, 2003</w:t>
      </w:r>
      <w:r w:rsidRPr="0047155E">
        <w:rPr>
          <w:rFonts w:ascii="Arial" w:hAnsi="Arial" w:cs="Arial"/>
          <w:sz w:val="20"/>
          <w:szCs w:val="20"/>
        </w:rPr>
        <w:t xml:space="preserve">). </w:t>
      </w:r>
      <w:r w:rsidR="00B731C1" w:rsidRPr="0047155E">
        <w:rPr>
          <w:rFonts w:ascii="Arial" w:hAnsi="Arial" w:cs="Arial"/>
          <w:sz w:val="20"/>
          <w:szCs w:val="20"/>
        </w:rPr>
        <w:t>É</w:t>
      </w:r>
      <w:r w:rsidRPr="0047155E">
        <w:rPr>
          <w:rFonts w:ascii="Arial" w:hAnsi="Arial" w:cs="Arial"/>
          <w:sz w:val="20"/>
          <w:szCs w:val="20"/>
        </w:rPr>
        <w:t xml:space="preserve"> o caso do </w:t>
      </w:r>
      <w:proofErr w:type="spellStart"/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>, programa voltado para o atendimento aos portadores de hipertensão arterial sistêmica</w:t>
      </w:r>
      <w:r w:rsidR="00192400" w:rsidRPr="0047155E">
        <w:rPr>
          <w:rFonts w:ascii="Arial" w:hAnsi="Arial" w:cs="Arial"/>
          <w:sz w:val="20"/>
          <w:szCs w:val="20"/>
        </w:rPr>
        <w:t xml:space="preserve"> (HAS)</w:t>
      </w:r>
      <w:r w:rsidRPr="0047155E">
        <w:rPr>
          <w:rFonts w:ascii="Arial" w:hAnsi="Arial" w:cs="Arial"/>
          <w:sz w:val="20"/>
          <w:szCs w:val="20"/>
        </w:rPr>
        <w:t xml:space="preserve"> e </w:t>
      </w:r>
      <w:r w:rsidR="00956E18" w:rsidRPr="0047155E">
        <w:rPr>
          <w:rFonts w:ascii="Arial" w:hAnsi="Arial" w:cs="Arial"/>
          <w:i/>
          <w:sz w:val="20"/>
          <w:szCs w:val="20"/>
        </w:rPr>
        <w:t>Diabetes Mellitus</w:t>
      </w:r>
      <w:r w:rsidR="00192400" w:rsidRPr="0047155E">
        <w:rPr>
          <w:rFonts w:ascii="Arial" w:hAnsi="Arial" w:cs="Arial"/>
          <w:sz w:val="20"/>
          <w:szCs w:val="20"/>
        </w:rPr>
        <w:t xml:space="preserve"> (DM)</w:t>
      </w:r>
      <w:r w:rsidRPr="0047155E">
        <w:rPr>
          <w:rFonts w:ascii="Arial" w:hAnsi="Arial" w:cs="Arial"/>
          <w:sz w:val="20"/>
          <w:szCs w:val="20"/>
        </w:rPr>
        <w:t xml:space="preserve"> (</w:t>
      </w:r>
      <w:r w:rsidR="00D67FBA" w:rsidRPr="0047155E">
        <w:rPr>
          <w:rFonts w:ascii="Arial" w:hAnsi="Arial" w:cs="Arial"/>
          <w:sz w:val="20"/>
          <w:szCs w:val="20"/>
        </w:rPr>
        <w:t>BRASIL, 2001</w:t>
      </w:r>
      <w:r w:rsidRPr="0047155E">
        <w:rPr>
          <w:rFonts w:ascii="Arial" w:hAnsi="Arial" w:cs="Arial"/>
          <w:sz w:val="20"/>
          <w:szCs w:val="20"/>
        </w:rPr>
        <w:t>). A maioria destes usuários</w:t>
      </w:r>
      <w:r w:rsidR="00D67FBA" w:rsidRPr="0047155E">
        <w:rPr>
          <w:rFonts w:ascii="Arial" w:hAnsi="Arial" w:cs="Arial"/>
          <w:sz w:val="20"/>
          <w:szCs w:val="20"/>
        </w:rPr>
        <w:t>,</w:t>
      </w:r>
      <w:r w:rsidRPr="0047155E">
        <w:rPr>
          <w:rFonts w:ascii="Arial" w:hAnsi="Arial" w:cs="Arial"/>
          <w:sz w:val="20"/>
          <w:szCs w:val="20"/>
        </w:rPr>
        <w:t xml:space="preserve"> adstritos</w:t>
      </w:r>
      <w:r w:rsidR="00D67FBA" w:rsidRPr="0047155E">
        <w:rPr>
          <w:rFonts w:ascii="Arial" w:hAnsi="Arial" w:cs="Arial"/>
          <w:sz w:val="20"/>
          <w:szCs w:val="20"/>
        </w:rPr>
        <w:t xml:space="preserve"> às USF,</w:t>
      </w:r>
      <w:r w:rsidRPr="0047155E">
        <w:rPr>
          <w:rFonts w:ascii="Arial" w:hAnsi="Arial" w:cs="Arial"/>
          <w:sz w:val="20"/>
          <w:szCs w:val="20"/>
        </w:rPr>
        <w:t xml:space="preserve"> correspondem também ao grupo de pessoas</w:t>
      </w:r>
      <w:r w:rsidR="00192400" w:rsidRPr="0047155E">
        <w:rPr>
          <w:rFonts w:ascii="Arial" w:hAnsi="Arial" w:cs="Arial"/>
          <w:sz w:val="20"/>
          <w:szCs w:val="20"/>
        </w:rPr>
        <w:t xml:space="preserve"> da terceira idade</w:t>
      </w:r>
      <w:r w:rsidRPr="0047155E">
        <w:rPr>
          <w:rFonts w:ascii="Arial" w:hAnsi="Arial" w:cs="Arial"/>
          <w:sz w:val="20"/>
          <w:szCs w:val="20"/>
        </w:rPr>
        <w:t xml:space="preserve"> (</w:t>
      </w:r>
      <w:r w:rsidR="0045279E" w:rsidRPr="0047155E">
        <w:rPr>
          <w:rFonts w:ascii="Arial" w:hAnsi="Arial" w:cs="Arial"/>
          <w:sz w:val="20"/>
          <w:szCs w:val="20"/>
        </w:rPr>
        <w:t>BRASIL, 2007</w:t>
      </w:r>
      <w:r w:rsidR="00DB7176" w:rsidRPr="0047155E">
        <w:rPr>
          <w:rFonts w:ascii="Arial" w:hAnsi="Arial" w:cs="Arial"/>
          <w:sz w:val="20"/>
          <w:szCs w:val="20"/>
        </w:rPr>
        <w:t xml:space="preserve">, PEREIRA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="00DB7176" w:rsidRPr="0047155E">
        <w:rPr>
          <w:rFonts w:ascii="Arial" w:hAnsi="Arial" w:cs="Arial"/>
          <w:sz w:val="20"/>
          <w:szCs w:val="20"/>
        </w:rPr>
        <w:t>., 2010</w:t>
      </w:r>
      <w:r w:rsidRPr="0047155E">
        <w:rPr>
          <w:rFonts w:ascii="Arial" w:hAnsi="Arial" w:cs="Arial"/>
          <w:sz w:val="20"/>
          <w:szCs w:val="20"/>
        </w:rPr>
        <w:t>).</w:t>
      </w:r>
    </w:p>
    <w:p w:rsidR="00323814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A USF Timbó II, Distrito Sanitário III, município de João Pessoa/PB, localizada na zona sul da cidade, desenvolve seu trabalho em uma área geograficamente desprivilegiada, com acidentes geográficos, ladeiras e rio poluído, e terreno sem pavimentação. As condições de saneamento básico também são precárias.</w:t>
      </w:r>
    </w:p>
    <w:p w:rsidR="00323814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As estimativas nacionais preveem uma faixa de 9% de idosos para as cidades do nordeste</w:t>
      </w:r>
      <w:r w:rsidR="006134F4" w:rsidRPr="0047155E">
        <w:rPr>
          <w:rFonts w:ascii="Arial" w:hAnsi="Arial" w:cs="Arial"/>
          <w:sz w:val="20"/>
          <w:szCs w:val="20"/>
        </w:rPr>
        <w:t xml:space="preserve"> e com a tendência de aumento ao longo dos </w:t>
      </w:r>
      <w:r w:rsidR="00C40EE7" w:rsidRPr="0047155E">
        <w:rPr>
          <w:rFonts w:ascii="Arial" w:hAnsi="Arial" w:cs="Arial"/>
          <w:sz w:val="20"/>
          <w:szCs w:val="20"/>
        </w:rPr>
        <w:t xml:space="preserve">próximos </w:t>
      </w:r>
      <w:r w:rsidR="006134F4" w:rsidRPr="0047155E">
        <w:rPr>
          <w:rFonts w:ascii="Arial" w:hAnsi="Arial" w:cs="Arial"/>
          <w:sz w:val="20"/>
          <w:szCs w:val="20"/>
        </w:rPr>
        <w:t>anos (BRASIL, 2007; VERAS, 2009)</w:t>
      </w:r>
      <w:r w:rsidRPr="0047155E">
        <w:rPr>
          <w:rFonts w:ascii="Arial" w:hAnsi="Arial" w:cs="Arial"/>
          <w:sz w:val="20"/>
          <w:szCs w:val="20"/>
        </w:rPr>
        <w:t>. Como na USF Timbó II estão adstritos 2.</w:t>
      </w:r>
      <w:r w:rsidR="006134F4" w:rsidRPr="0047155E">
        <w:rPr>
          <w:rFonts w:ascii="Arial" w:hAnsi="Arial" w:cs="Arial"/>
          <w:sz w:val="20"/>
          <w:szCs w:val="20"/>
        </w:rPr>
        <w:t xml:space="preserve">782 </w:t>
      </w:r>
      <w:r w:rsidRPr="0047155E">
        <w:rPr>
          <w:rFonts w:ascii="Arial" w:hAnsi="Arial" w:cs="Arial"/>
          <w:sz w:val="20"/>
          <w:szCs w:val="20"/>
        </w:rPr>
        <w:t>usuários (</w:t>
      </w:r>
      <w:r w:rsidR="00BA37A6" w:rsidRPr="0047155E">
        <w:rPr>
          <w:rFonts w:ascii="Arial" w:hAnsi="Arial" w:cs="Arial"/>
          <w:sz w:val="20"/>
          <w:szCs w:val="20"/>
        </w:rPr>
        <w:t>JOÃO PESSOA</w:t>
      </w:r>
      <w:r w:rsidR="0045279E" w:rsidRPr="0047155E">
        <w:rPr>
          <w:rFonts w:ascii="Arial" w:hAnsi="Arial" w:cs="Arial"/>
          <w:sz w:val="20"/>
          <w:szCs w:val="20"/>
        </w:rPr>
        <w:t xml:space="preserve">, </w:t>
      </w:r>
      <w:r w:rsidR="006134F4" w:rsidRPr="0047155E">
        <w:rPr>
          <w:rFonts w:ascii="Arial" w:hAnsi="Arial" w:cs="Arial"/>
          <w:sz w:val="20"/>
          <w:szCs w:val="20"/>
        </w:rPr>
        <w:t>2011</w:t>
      </w:r>
      <w:r w:rsidRPr="0047155E">
        <w:rPr>
          <w:rFonts w:ascii="Arial" w:hAnsi="Arial" w:cs="Arial"/>
          <w:sz w:val="20"/>
          <w:szCs w:val="20"/>
        </w:rPr>
        <w:t>), é esperado um contingente de 2</w:t>
      </w:r>
      <w:r w:rsidR="006134F4" w:rsidRPr="0047155E">
        <w:rPr>
          <w:rFonts w:ascii="Arial" w:hAnsi="Arial" w:cs="Arial"/>
          <w:sz w:val="20"/>
          <w:szCs w:val="20"/>
        </w:rPr>
        <w:t>50</w:t>
      </w:r>
      <w:r w:rsidRPr="0047155E">
        <w:rPr>
          <w:rFonts w:ascii="Arial" w:hAnsi="Arial" w:cs="Arial"/>
          <w:sz w:val="20"/>
          <w:szCs w:val="20"/>
        </w:rPr>
        <w:t xml:space="preserve"> idosos.</w:t>
      </w:r>
      <w:r w:rsidR="006134F4" w:rsidRPr="0047155E">
        <w:rPr>
          <w:rFonts w:ascii="Arial" w:hAnsi="Arial" w:cs="Arial"/>
          <w:sz w:val="20"/>
          <w:szCs w:val="20"/>
        </w:rPr>
        <w:t xml:space="preserve"> </w:t>
      </w:r>
      <w:r w:rsidRPr="0047155E">
        <w:rPr>
          <w:rFonts w:ascii="Arial" w:hAnsi="Arial" w:cs="Arial"/>
          <w:sz w:val="20"/>
          <w:szCs w:val="20"/>
        </w:rPr>
        <w:t xml:space="preserve">Dentre </w:t>
      </w:r>
      <w:r w:rsidR="006134F4" w:rsidRPr="0047155E">
        <w:rPr>
          <w:rFonts w:ascii="Arial" w:hAnsi="Arial" w:cs="Arial"/>
          <w:sz w:val="20"/>
          <w:szCs w:val="20"/>
        </w:rPr>
        <w:t>esta</w:t>
      </w:r>
      <w:r w:rsidRPr="0047155E">
        <w:rPr>
          <w:rFonts w:ascii="Arial" w:hAnsi="Arial" w:cs="Arial"/>
          <w:sz w:val="20"/>
          <w:szCs w:val="20"/>
        </w:rPr>
        <w:t xml:space="preserve"> população </w:t>
      </w:r>
      <w:r w:rsidR="006134F4" w:rsidRPr="0047155E">
        <w:rPr>
          <w:rFonts w:ascii="Arial" w:hAnsi="Arial" w:cs="Arial"/>
          <w:sz w:val="20"/>
          <w:szCs w:val="20"/>
        </w:rPr>
        <w:t>estariam concentrados os</w:t>
      </w:r>
      <w:r w:rsidRPr="0047155E">
        <w:rPr>
          <w:rFonts w:ascii="Arial" w:hAnsi="Arial" w:cs="Arial"/>
          <w:sz w:val="20"/>
          <w:szCs w:val="20"/>
        </w:rPr>
        <w:t xml:space="preserve"> usuários com hipertensão arterial sistêmica e </w:t>
      </w:r>
      <w:r w:rsidR="00956E18" w:rsidRPr="0047155E">
        <w:rPr>
          <w:rFonts w:ascii="Arial" w:hAnsi="Arial" w:cs="Arial"/>
          <w:i/>
          <w:sz w:val="20"/>
          <w:szCs w:val="20"/>
        </w:rPr>
        <w:t>Diabetes Mellitus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="00C40EE7" w:rsidRPr="0047155E">
        <w:rPr>
          <w:rFonts w:ascii="Arial" w:hAnsi="Arial" w:cs="Arial"/>
          <w:sz w:val="20"/>
          <w:szCs w:val="20"/>
        </w:rPr>
        <w:t xml:space="preserve">tipo II </w:t>
      </w:r>
      <w:r w:rsidRPr="0047155E">
        <w:rPr>
          <w:rFonts w:ascii="Arial" w:hAnsi="Arial" w:cs="Arial"/>
          <w:sz w:val="20"/>
          <w:szCs w:val="20"/>
        </w:rPr>
        <w:t>(</w:t>
      </w:r>
      <w:r w:rsidR="006134F4" w:rsidRPr="0047155E">
        <w:rPr>
          <w:rFonts w:ascii="Arial" w:hAnsi="Arial" w:cs="Arial"/>
          <w:sz w:val="20"/>
          <w:szCs w:val="20"/>
        </w:rPr>
        <w:t>BRASIL, 2007</w:t>
      </w:r>
      <w:r w:rsidRPr="0047155E">
        <w:rPr>
          <w:rFonts w:ascii="Arial" w:hAnsi="Arial" w:cs="Arial"/>
          <w:sz w:val="20"/>
          <w:szCs w:val="20"/>
        </w:rPr>
        <w:t>).</w:t>
      </w:r>
    </w:p>
    <w:p w:rsidR="00323814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 Equipe da USF Timbó II tem </w:t>
      </w:r>
      <w:r w:rsidR="00317ABB" w:rsidRPr="0047155E">
        <w:rPr>
          <w:rFonts w:ascii="Arial" w:hAnsi="Arial" w:cs="Arial"/>
          <w:sz w:val="20"/>
          <w:szCs w:val="20"/>
        </w:rPr>
        <w:t>acolh</w:t>
      </w:r>
      <w:r w:rsidRPr="0047155E">
        <w:rPr>
          <w:rFonts w:ascii="Arial" w:hAnsi="Arial" w:cs="Arial"/>
          <w:sz w:val="20"/>
          <w:szCs w:val="20"/>
        </w:rPr>
        <w:t>ido extensionistas do Projeto de Extensão “Formação humanizada do Profissional de Saúde”, graduandos e graduandas de diferentes cursos da área da saúde da Universidade Federal da Paraíba, desde 2007. Graças ao perfil humanizado desta Equipe, a parceria ensino-serviço tem si</w:t>
      </w:r>
      <w:r w:rsidR="00C96A5E" w:rsidRPr="0047155E">
        <w:rPr>
          <w:rFonts w:ascii="Arial" w:hAnsi="Arial" w:cs="Arial"/>
          <w:sz w:val="20"/>
          <w:szCs w:val="20"/>
        </w:rPr>
        <w:t>do muito proveitosa para tod</w:t>
      </w:r>
      <w:r w:rsidRPr="0047155E">
        <w:rPr>
          <w:rFonts w:ascii="Arial" w:hAnsi="Arial" w:cs="Arial"/>
          <w:sz w:val="20"/>
          <w:szCs w:val="20"/>
        </w:rPr>
        <w:t>os os envolvidos. A Equipe tem sido estimulada a refletir sobre sua prática no trabalho desenvolvido junto à comunidade e a usar novas estratégias para este fazer. Enquanto isto, graduandos e graduandas vivenciam o processo saúde doença e fazem a ponte entre o conhecimento teórico e a prática desenvolvida na direção da consolidação da atenção humanizada preconizada pelo SUS (</w:t>
      </w:r>
      <w:r w:rsidR="006134F4" w:rsidRPr="0047155E">
        <w:rPr>
          <w:rFonts w:ascii="Arial" w:hAnsi="Arial" w:cs="Arial"/>
          <w:sz w:val="20"/>
          <w:szCs w:val="20"/>
        </w:rPr>
        <w:t xml:space="preserve">AZEVEDO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="006134F4" w:rsidRPr="0047155E">
        <w:rPr>
          <w:rFonts w:ascii="Arial" w:hAnsi="Arial" w:cs="Arial"/>
          <w:sz w:val="20"/>
          <w:szCs w:val="20"/>
        </w:rPr>
        <w:t>., 2011</w:t>
      </w:r>
      <w:r w:rsidRPr="0047155E">
        <w:rPr>
          <w:rFonts w:ascii="Arial" w:hAnsi="Arial" w:cs="Arial"/>
          <w:sz w:val="20"/>
          <w:szCs w:val="20"/>
        </w:rPr>
        <w:t>).</w:t>
      </w:r>
    </w:p>
    <w:p w:rsidR="003C2A14" w:rsidRPr="0047155E" w:rsidRDefault="003C2A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Atentos à demanda dos usuários com hipertensão arterial sistêmica (HAS) ou </w:t>
      </w:r>
      <w:r w:rsidRPr="0047155E">
        <w:rPr>
          <w:rFonts w:ascii="Arial" w:hAnsi="Arial" w:cs="Arial"/>
          <w:i/>
          <w:sz w:val="20"/>
          <w:szCs w:val="20"/>
        </w:rPr>
        <w:t>diabetes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Pr="0047155E">
        <w:rPr>
          <w:rFonts w:ascii="Arial" w:hAnsi="Arial" w:cs="Arial"/>
          <w:i/>
          <w:sz w:val="20"/>
          <w:szCs w:val="20"/>
        </w:rPr>
        <w:t>mel</w:t>
      </w:r>
      <w:r w:rsidR="00D67FBA" w:rsidRPr="0047155E">
        <w:rPr>
          <w:rFonts w:ascii="Arial" w:hAnsi="Arial" w:cs="Arial"/>
          <w:i/>
          <w:sz w:val="20"/>
          <w:szCs w:val="20"/>
        </w:rPr>
        <w:t>l</w:t>
      </w:r>
      <w:r w:rsidRPr="0047155E">
        <w:rPr>
          <w:rFonts w:ascii="Arial" w:hAnsi="Arial" w:cs="Arial"/>
          <w:i/>
          <w:sz w:val="20"/>
          <w:szCs w:val="20"/>
        </w:rPr>
        <w:t>it</w:t>
      </w:r>
      <w:r w:rsidR="00D67FBA" w:rsidRPr="0047155E">
        <w:rPr>
          <w:rFonts w:ascii="Arial" w:hAnsi="Arial" w:cs="Arial"/>
          <w:i/>
          <w:sz w:val="20"/>
          <w:szCs w:val="20"/>
        </w:rPr>
        <w:t>us</w:t>
      </w:r>
      <w:r w:rsidRPr="0047155E">
        <w:rPr>
          <w:rFonts w:ascii="Arial" w:hAnsi="Arial" w:cs="Arial"/>
          <w:sz w:val="20"/>
          <w:szCs w:val="20"/>
        </w:rPr>
        <w:t xml:space="preserve"> (DM), os extensionistas do Projeto “Formação Humanizada do Profissional de Saúde”, em 2011, perceberam, durante vivência com a Equipe da USF Timbó II, que a frequência de usuários no </w:t>
      </w:r>
      <w:proofErr w:type="spellStart"/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estava escassa durante o mês de junho de 2011.</w:t>
      </w:r>
    </w:p>
    <w:p w:rsidR="00323814" w:rsidRPr="0047155E" w:rsidRDefault="00323814" w:rsidP="003238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lastRenderedPageBreak/>
        <w:t xml:space="preserve">Este trabalho apresenta um recorte nesta realidade no que se refere aos desafios no controle da hipertensão arterial sistêmica e da </w:t>
      </w:r>
      <w:r w:rsidR="00956E18" w:rsidRPr="0047155E">
        <w:rPr>
          <w:rFonts w:ascii="Arial" w:hAnsi="Arial" w:cs="Arial"/>
          <w:i/>
          <w:sz w:val="20"/>
          <w:szCs w:val="20"/>
        </w:rPr>
        <w:t>Diabetes Mellitus</w:t>
      </w:r>
      <w:r w:rsidRPr="0047155E">
        <w:rPr>
          <w:rFonts w:ascii="Arial" w:hAnsi="Arial" w:cs="Arial"/>
          <w:sz w:val="20"/>
          <w:szCs w:val="20"/>
        </w:rPr>
        <w:t xml:space="preserve"> na comunidade assistida pela USF Timbó II durante o desenvolvimento do Projeto de Extensão em 2011.</w:t>
      </w:r>
    </w:p>
    <w:p w:rsidR="00182B04" w:rsidRPr="0047155E" w:rsidRDefault="00182B04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D6750" w:rsidRPr="0047155E" w:rsidRDefault="00ED6750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DESCRIÇÃO METODOLÓGICA</w:t>
      </w:r>
      <w:r w:rsidR="00F011DA" w:rsidRPr="0047155E">
        <w:rPr>
          <w:rFonts w:ascii="Arial" w:hAnsi="Arial" w:cs="Arial"/>
          <w:b/>
          <w:sz w:val="20"/>
          <w:szCs w:val="20"/>
        </w:rPr>
        <w:t xml:space="preserve"> </w:t>
      </w:r>
    </w:p>
    <w:p w:rsidR="00CC6012" w:rsidRPr="0047155E" w:rsidRDefault="00CC6012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C2A14" w:rsidRPr="0047155E" w:rsidRDefault="00B201E7" w:rsidP="00182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</w:r>
      <w:r w:rsidR="00323814" w:rsidRPr="0047155E">
        <w:rPr>
          <w:rFonts w:ascii="Arial" w:hAnsi="Arial" w:cs="Arial"/>
          <w:sz w:val="20"/>
          <w:szCs w:val="20"/>
        </w:rPr>
        <w:t>Este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="00DF372C" w:rsidRPr="0047155E">
        <w:rPr>
          <w:rFonts w:ascii="Arial" w:hAnsi="Arial" w:cs="Arial"/>
          <w:sz w:val="20"/>
          <w:szCs w:val="20"/>
        </w:rPr>
        <w:t>estudo</w:t>
      </w:r>
      <w:r w:rsidRPr="0047155E">
        <w:rPr>
          <w:rFonts w:ascii="Arial" w:hAnsi="Arial" w:cs="Arial"/>
          <w:sz w:val="20"/>
          <w:szCs w:val="20"/>
        </w:rPr>
        <w:t xml:space="preserve"> explorat</w:t>
      </w:r>
      <w:r w:rsidR="00DF372C" w:rsidRPr="0047155E">
        <w:rPr>
          <w:rFonts w:ascii="Arial" w:hAnsi="Arial" w:cs="Arial"/>
          <w:sz w:val="20"/>
          <w:szCs w:val="20"/>
        </w:rPr>
        <w:t>ório</w:t>
      </w:r>
      <w:r w:rsidRPr="0047155E">
        <w:rPr>
          <w:rFonts w:ascii="Arial" w:hAnsi="Arial" w:cs="Arial"/>
          <w:sz w:val="20"/>
          <w:szCs w:val="20"/>
        </w:rPr>
        <w:t>, descritiv</w:t>
      </w:r>
      <w:r w:rsidR="00DF372C" w:rsidRPr="0047155E">
        <w:rPr>
          <w:rFonts w:ascii="Arial" w:hAnsi="Arial" w:cs="Arial"/>
          <w:sz w:val="20"/>
          <w:szCs w:val="20"/>
        </w:rPr>
        <w:t>o</w:t>
      </w:r>
      <w:r w:rsidRPr="0047155E">
        <w:rPr>
          <w:rFonts w:ascii="Arial" w:hAnsi="Arial" w:cs="Arial"/>
          <w:sz w:val="20"/>
          <w:szCs w:val="20"/>
        </w:rPr>
        <w:t xml:space="preserve"> e quantitativ</w:t>
      </w:r>
      <w:r w:rsidR="00DF372C" w:rsidRPr="0047155E">
        <w:rPr>
          <w:rFonts w:ascii="Arial" w:hAnsi="Arial" w:cs="Arial"/>
          <w:sz w:val="20"/>
          <w:szCs w:val="20"/>
        </w:rPr>
        <w:t>o</w:t>
      </w:r>
      <w:r w:rsidR="00C96A5E" w:rsidRPr="0047155E">
        <w:rPr>
          <w:rFonts w:ascii="Arial" w:hAnsi="Arial" w:cs="Arial"/>
          <w:sz w:val="20"/>
          <w:szCs w:val="20"/>
        </w:rPr>
        <w:t>,</w:t>
      </w:r>
      <w:r w:rsidR="00323814" w:rsidRPr="0047155E">
        <w:rPr>
          <w:rFonts w:ascii="Arial" w:hAnsi="Arial" w:cs="Arial"/>
          <w:sz w:val="20"/>
          <w:szCs w:val="20"/>
        </w:rPr>
        <w:t xml:space="preserve"> promoveu a</w:t>
      </w:r>
      <w:r w:rsidR="00DF372C" w:rsidRPr="0047155E">
        <w:rPr>
          <w:rFonts w:ascii="Arial" w:hAnsi="Arial" w:cs="Arial"/>
          <w:sz w:val="20"/>
          <w:szCs w:val="20"/>
        </w:rPr>
        <w:t xml:space="preserve"> c</w:t>
      </w:r>
      <w:r w:rsidRPr="0047155E">
        <w:rPr>
          <w:rFonts w:ascii="Arial" w:hAnsi="Arial" w:cs="Arial"/>
          <w:sz w:val="20"/>
          <w:szCs w:val="20"/>
        </w:rPr>
        <w:t xml:space="preserve">oleta de dados a partir de pesquisa em documentação (prontuários) </w:t>
      </w:r>
      <w:r w:rsidR="00C96A5E" w:rsidRPr="0047155E">
        <w:rPr>
          <w:rFonts w:ascii="Arial" w:hAnsi="Arial" w:cs="Arial"/>
          <w:sz w:val="20"/>
          <w:szCs w:val="20"/>
        </w:rPr>
        <w:t xml:space="preserve">durante o mês de junho de 2011 </w:t>
      </w:r>
      <w:r w:rsidRPr="0047155E">
        <w:rPr>
          <w:rFonts w:ascii="Arial" w:hAnsi="Arial" w:cs="Arial"/>
          <w:sz w:val="20"/>
          <w:szCs w:val="20"/>
        </w:rPr>
        <w:t xml:space="preserve">e entrevista </w:t>
      </w:r>
      <w:r w:rsidR="00DF372C" w:rsidRPr="0047155E">
        <w:rPr>
          <w:rFonts w:ascii="Arial" w:hAnsi="Arial" w:cs="Arial"/>
          <w:sz w:val="20"/>
          <w:szCs w:val="20"/>
        </w:rPr>
        <w:t xml:space="preserve">aos </w:t>
      </w:r>
      <w:r w:rsidRPr="0047155E">
        <w:rPr>
          <w:rFonts w:ascii="Arial" w:hAnsi="Arial" w:cs="Arial"/>
          <w:sz w:val="20"/>
          <w:szCs w:val="20"/>
        </w:rPr>
        <w:t xml:space="preserve">membros da equipe da USF Timbó </w:t>
      </w:r>
      <w:r w:rsidR="00DF372C" w:rsidRPr="0047155E">
        <w:rPr>
          <w:rFonts w:ascii="Arial" w:hAnsi="Arial" w:cs="Arial"/>
          <w:sz w:val="20"/>
          <w:szCs w:val="20"/>
        </w:rPr>
        <w:t xml:space="preserve">II </w:t>
      </w:r>
      <w:r w:rsidR="00C96A5E" w:rsidRPr="0047155E">
        <w:rPr>
          <w:rFonts w:ascii="Arial" w:hAnsi="Arial" w:cs="Arial"/>
          <w:sz w:val="20"/>
          <w:szCs w:val="20"/>
        </w:rPr>
        <w:t xml:space="preserve">em setembro de 2011. O foco da pesquisa foi </w:t>
      </w:r>
      <w:r w:rsidR="00323814" w:rsidRPr="0047155E">
        <w:rPr>
          <w:rFonts w:ascii="Arial" w:hAnsi="Arial" w:cs="Arial"/>
          <w:sz w:val="20"/>
          <w:szCs w:val="20"/>
        </w:rPr>
        <w:t xml:space="preserve">o absenteísmo dos usuários cadastrados no </w:t>
      </w:r>
      <w:proofErr w:type="spellStart"/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="00C96A5E" w:rsidRPr="0047155E">
        <w:rPr>
          <w:rFonts w:ascii="Arial" w:hAnsi="Arial" w:cs="Arial"/>
          <w:sz w:val="20"/>
          <w:szCs w:val="20"/>
        </w:rPr>
        <w:t xml:space="preserve"> de modo retrospectivo a um ano</w:t>
      </w:r>
      <w:r w:rsidRPr="0047155E">
        <w:rPr>
          <w:rFonts w:ascii="Arial" w:hAnsi="Arial" w:cs="Arial"/>
          <w:sz w:val="20"/>
          <w:szCs w:val="20"/>
        </w:rPr>
        <w:t>.</w:t>
      </w:r>
      <w:r w:rsidR="00182B04" w:rsidRPr="0047155E">
        <w:rPr>
          <w:rFonts w:ascii="Arial" w:hAnsi="Arial" w:cs="Arial"/>
          <w:sz w:val="20"/>
          <w:szCs w:val="20"/>
        </w:rPr>
        <w:t xml:space="preserve"> </w:t>
      </w:r>
      <w:r w:rsidR="00D12BC9" w:rsidRPr="0047155E">
        <w:rPr>
          <w:rFonts w:ascii="Arial" w:hAnsi="Arial" w:cs="Arial"/>
          <w:sz w:val="20"/>
          <w:szCs w:val="20"/>
        </w:rPr>
        <w:t xml:space="preserve">A população alvo incluiu </w:t>
      </w:r>
      <w:r w:rsidR="00C96A5E" w:rsidRPr="0047155E">
        <w:rPr>
          <w:rFonts w:ascii="Arial" w:hAnsi="Arial" w:cs="Arial"/>
          <w:sz w:val="20"/>
          <w:szCs w:val="20"/>
        </w:rPr>
        <w:t>182</w:t>
      </w:r>
      <w:r w:rsidR="00D12BC9" w:rsidRPr="0047155E">
        <w:rPr>
          <w:rFonts w:ascii="Arial" w:hAnsi="Arial" w:cs="Arial"/>
          <w:sz w:val="20"/>
          <w:szCs w:val="20"/>
        </w:rPr>
        <w:t xml:space="preserve"> usuários </w:t>
      </w:r>
      <w:r w:rsidR="00C96A5E" w:rsidRPr="0047155E">
        <w:rPr>
          <w:rFonts w:ascii="Arial" w:hAnsi="Arial" w:cs="Arial"/>
          <w:sz w:val="20"/>
          <w:szCs w:val="20"/>
        </w:rPr>
        <w:t xml:space="preserve">cujos prontuários estavam </w:t>
      </w:r>
      <w:r w:rsidR="00D12BC9" w:rsidRPr="0047155E">
        <w:rPr>
          <w:rFonts w:ascii="Arial" w:hAnsi="Arial" w:cs="Arial"/>
          <w:sz w:val="20"/>
          <w:szCs w:val="20"/>
        </w:rPr>
        <w:t>adstritos à USF Timbó II</w:t>
      </w:r>
      <w:r w:rsidR="003C2A14" w:rsidRPr="0047155E">
        <w:rPr>
          <w:rFonts w:ascii="Arial" w:hAnsi="Arial" w:cs="Arial"/>
          <w:sz w:val="20"/>
          <w:szCs w:val="20"/>
        </w:rPr>
        <w:t xml:space="preserve"> em junho de 2011</w:t>
      </w:r>
      <w:r w:rsidR="00C96A5E" w:rsidRPr="0047155E">
        <w:rPr>
          <w:rFonts w:ascii="Arial" w:hAnsi="Arial" w:cs="Arial"/>
          <w:sz w:val="20"/>
          <w:szCs w:val="20"/>
        </w:rPr>
        <w:t xml:space="preserve"> e</w:t>
      </w:r>
      <w:r w:rsidR="003C2A14" w:rsidRPr="0047155E">
        <w:rPr>
          <w:rFonts w:ascii="Arial" w:hAnsi="Arial" w:cs="Arial"/>
          <w:sz w:val="20"/>
          <w:szCs w:val="20"/>
        </w:rPr>
        <w:t xml:space="preserve"> distribuídos em </w:t>
      </w:r>
      <w:proofErr w:type="gramStart"/>
      <w:r w:rsidR="003C2A14" w:rsidRPr="0047155E">
        <w:rPr>
          <w:rFonts w:ascii="Arial" w:hAnsi="Arial" w:cs="Arial"/>
          <w:sz w:val="20"/>
          <w:szCs w:val="20"/>
        </w:rPr>
        <w:t>5</w:t>
      </w:r>
      <w:proofErr w:type="gramEnd"/>
      <w:r w:rsidR="003C2A14" w:rsidRPr="0047155E">
        <w:rPr>
          <w:rFonts w:ascii="Arial" w:hAnsi="Arial" w:cs="Arial"/>
          <w:sz w:val="20"/>
          <w:szCs w:val="20"/>
        </w:rPr>
        <w:t xml:space="preserve"> micro áreas (Figura 1),</w:t>
      </w:r>
      <w:r w:rsidR="00C96A5E" w:rsidRPr="0047155E">
        <w:rPr>
          <w:rFonts w:ascii="Arial" w:hAnsi="Arial" w:cs="Arial"/>
          <w:sz w:val="20"/>
          <w:szCs w:val="20"/>
        </w:rPr>
        <w:t xml:space="preserve"> </w:t>
      </w:r>
      <w:r w:rsidR="00D12BC9" w:rsidRPr="0047155E">
        <w:rPr>
          <w:rFonts w:ascii="Arial" w:hAnsi="Arial" w:cs="Arial"/>
          <w:sz w:val="20"/>
          <w:szCs w:val="20"/>
        </w:rPr>
        <w:t xml:space="preserve">cadastrados no </w:t>
      </w:r>
      <w:proofErr w:type="spell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r w:rsidR="00D12BC9" w:rsidRPr="0047155E">
        <w:rPr>
          <w:rFonts w:ascii="Arial" w:hAnsi="Arial" w:cs="Arial"/>
          <w:sz w:val="20"/>
          <w:szCs w:val="20"/>
        </w:rPr>
        <w:t xml:space="preserve">, </w:t>
      </w:r>
      <w:r w:rsidR="005C78FE" w:rsidRPr="0047155E">
        <w:rPr>
          <w:rFonts w:ascii="Arial" w:hAnsi="Arial" w:cs="Arial"/>
          <w:sz w:val="20"/>
          <w:szCs w:val="20"/>
        </w:rPr>
        <w:t xml:space="preserve">sendo </w:t>
      </w:r>
      <w:r w:rsidR="00D12BC9" w:rsidRPr="0047155E">
        <w:rPr>
          <w:rFonts w:ascii="Arial" w:hAnsi="Arial" w:cs="Arial"/>
          <w:sz w:val="20"/>
          <w:szCs w:val="20"/>
        </w:rPr>
        <w:t xml:space="preserve">171 usuários com hipertensão arterial </w:t>
      </w:r>
      <w:r w:rsidR="005C78FE" w:rsidRPr="0047155E">
        <w:rPr>
          <w:rFonts w:ascii="Arial" w:hAnsi="Arial" w:cs="Arial"/>
          <w:sz w:val="20"/>
          <w:szCs w:val="20"/>
        </w:rPr>
        <w:t xml:space="preserve">(94,0%) </w:t>
      </w:r>
      <w:r w:rsidR="00D12BC9" w:rsidRPr="0047155E">
        <w:rPr>
          <w:rFonts w:ascii="Arial" w:hAnsi="Arial" w:cs="Arial"/>
          <w:sz w:val="20"/>
          <w:szCs w:val="20"/>
        </w:rPr>
        <w:t xml:space="preserve">e 49 usuários com </w:t>
      </w:r>
      <w:r w:rsidR="005C78FE" w:rsidRPr="0047155E">
        <w:rPr>
          <w:rFonts w:ascii="Arial" w:hAnsi="Arial" w:cs="Arial"/>
          <w:i/>
          <w:sz w:val="20"/>
          <w:szCs w:val="20"/>
        </w:rPr>
        <w:t xml:space="preserve">Diabetes Mellitus </w:t>
      </w:r>
      <w:r w:rsidR="005C78FE" w:rsidRPr="0047155E">
        <w:rPr>
          <w:rFonts w:ascii="Arial" w:hAnsi="Arial" w:cs="Arial"/>
          <w:sz w:val="20"/>
          <w:szCs w:val="20"/>
        </w:rPr>
        <w:t>(26,9%)</w:t>
      </w:r>
      <w:r w:rsidR="00D12BC9" w:rsidRPr="0047155E">
        <w:rPr>
          <w:rFonts w:ascii="Arial" w:hAnsi="Arial" w:cs="Arial"/>
          <w:sz w:val="20"/>
          <w:szCs w:val="20"/>
        </w:rPr>
        <w:t>.</w:t>
      </w:r>
      <w:r w:rsidR="003C2A14" w:rsidRPr="0047155E">
        <w:rPr>
          <w:rFonts w:ascii="Arial" w:hAnsi="Arial" w:cs="Arial"/>
          <w:sz w:val="20"/>
          <w:szCs w:val="20"/>
        </w:rPr>
        <w:t xml:space="preserve"> </w:t>
      </w:r>
    </w:p>
    <w:p w:rsidR="001D3462" w:rsidRPr="0047155E" w:rsidRDefault="001D3462" w:rsidP="003C2A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C2A14" w:rsidRPr="0047155E" w:rsidRDefault="003C2A14" w:rsidP="00956E1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Figura 1</w:t>
      </w:r>
      <w:r w:rsidRPr="0047155E">
        <w:rPr>
          <w:rFonts w:ascii="Arial" w:hAnsi="Arial" w:cs="Arial"/>
          <w:sz w:val="20"/>
          <w:szCs w:val="20"/>
        </w:rPr>
        <w:t>: Mapa vivo - Micro áreas adstritas à USF Timbó II</w:t>
      </w:r>
    </w:p>
    <w:tbl>
      <w:tblPr>
        <w:tblStyle w:val="Tabelacomgrade"/>
        <w:tblW w:w="0" w:type="auto"/>
        <w:jc w:val="center"/>
        <w:tblInd w:w="854" w:type="dxa"/>
        <w:tblLayout w:type="fixed"/>
        <w:tblLook w:val="04A0" w:firstRow="1" w:lastRow="0" w:firstColumn="1" w:lastColumn="0" w:noHBand="0" w:noVBand="1"/>
      </w:tblPr>
      <w:tblGrid>
        <w:gridCol w:w="7018"/>
      </w:tblGrid>
      <w:tr w:rsidR="003C2A14" w:rsidRPr="0047155E" w:rsidTr="00AF00D9">
        <w:trPr>
          <w:trHeight w:val="3546"/>
          <w:jc w:val="center"/>
        </w:trPr>
        <w:tc>
          <w:tcPr>
            <w:tcW w:w="7018" w:type="dxa"/>
            <w:vAlign w:val="center"/>
          </w:tcPr>
          <w:p w:rsidR="003C2A14" w:rsidRPr="0047155E" w:rsidRDefault="00AF00D9" w:rsidP="00AD19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151B7" wp14:editId="6708993E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662305</wp:posOffset>
                      </wp:positionV>
                      <wp:extent cx="112395" cy="109220"/>
                      <wp:effectExtent l="0" t="0" r="20955" b="2413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92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270.05pt;margin-top:52.15pt;width:8.8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" filled="f" strokecolor="yellow" strokeweight="1pt"/>
                  </w:pict>
                </mc:Fallback>
              </mc:AlternateContent>
            </w:r>
            <w:r w:rsidRPr="0047155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BCF77" wp14:editId="2482F04F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1031875</wp:posOffset>
                      </wp:positionV>
                      <wp:extent cx="112395" cy="109220"/>
                      <wp:effectExtent l="0" t="0" r="20955" b="2413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92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26" style="position:absolute;margin-left:226.65pt;margin-top:81.25pt;width:8.8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" filled="f" strokecolor="yellow" strokeweight="1pt"/>
                  </w:pict>
                </mc:Fallback>
              </mc:AlternateContent>
            </w:r>
            <w:r w:rsidR="003C2A14" w:rsidRPr="0047155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E49C5A3" wp14:editId="7F2FEE3B">
                  <wp:extent cx="4167554" cy="2154115"/>
                  <wp:effectExtent l="0" t="0" r="444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a com microáreas.JPG"/>
                          <pic:cNvPicPr/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208016" cy="2175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462" w:rsidRPr="0047155E" w:rsidRDefault="001D3462" w:rsidP="00F01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750" w:rsidRPr="0047155E" w:rsidRDefault="00323814" w:rsidP="00F01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</w:r>
      <w:r w:rsidR="00D12BC9" w:rsidRPr="0047155E">
        <w:rPr>
          <w:rFonts w:ascii="Arial" w:hAnsi="Arial" w:cs="Arial"/>
          <w:sz w:val="20"/>
          <w:szCs w:val="20"/>
        </w:rPr>
        <w:t>A</w:t>
      </w:r>
      <w:r w:rsidR="00DF372C" w:rsidRPr="0047155E">
        <w:rPr>
          <w:rFonts w:ascii="Arial" w:hAnsi="Arial" w:cs="Arial"/>
          <w:sz w:val="20"/>
          <w:szCs w:val="20"/>
        </w:rPr>
        <w:t xml:space="preserve"> </w:t>
      </w:r>
      <w:r w:rsidR="006F7DE4" w:rsidRPr="0047155E">
        <w:rPr>
          <w:rFonts w:ascii="Arial" w:hAnsi="Arial" w:cs="Arial"/>
          <w:sz w:val="20"/>
          <w:szCs w:val="20"/>
        </w:rPr>
        <w:t xml:space="preserve">Equipe de Profissionais </w:t>
      </w:r>
      <w:r w:rsidR="00D12BC9" w:rsidRPr="0047155E">
        <w:rPr>
          <w:rFonts w:ascii="Arial" w:hAnsi="Arial" w:cs="Arial"/>
          <w:sz w:val="20"/>
          <w:szCs w:val="20"/>
        </w:rPr>
        <w:t>da USF Timbó II partici</w:t>
      </w:r>
      <w:r w:rsidR="001E7DAD" w:rsidRPr="0047155E">
        <w:rPr>
          <w:rFonts w:ascii="Arial" w:hAnsi="Arial" w:cs="Arial"/>
          <w:sz w:val="20"/>
          <w:szCs w:val="20"/>
        </w:rPr>
        <w:t>p</w:t>
      </w:r>
      <w:r w:rsidR="00D12BC9" w:rsidRPr="0047155E">
        <w:rPr>
          <w:rFonts w:ascii="Arial" w:hAnsi="Arial" w:cs="Arial"/>
          <w:sz w:val="20"/>
          <w:szCs w:val="20"/>
        </w:rPr>
        <w:t>ou da análise dos dados</w:t>
      </w:r>
      <w:r w:rsidR="001E7DAD" w:rsidRPr="0047155E">
        <w:rPr>
          <w:rFonts w:ascii="Arial" w:hAnsi="Arial" w:cs="Arial"/>
          <w:sz w:val="20"/>
          <w:szCs w:val="20"/>
        </w:rPr>
        <w:t xml:space="preserve"> em entrevista ocorrida em setembro de 2011 onde tomou ciência do levantamento e repassou informações a respeito da rotina da comunidade e das atividades do </w:t>
      </w:r>
      <w:proofErr w:type="spellStart"/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="001E7DAD" w:rsidRPr="0047155E">
        <w:rPr>
          <w:rFonts w:ascii="Arial" w:hAnsi="Arial" w:cs="Arial"/>
          <w:sz w:val="20"/>
          <w:szCs w:val="20"/>
        </w:rPr>
        <w:t>.</w:t>
      </w:r>
    </w:p>
    <w:p w:rsidR="00122CD4" w:rsidRPr="0047155E" w:rsidRDefault="00122CD4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D6750" w:rsidRPr="0047155E" w:rsidRDefault="00ED6750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RESULTADOS</w:t>
      </w:r>
    </w:p>
    <w:p w:rsidR="00CC6012" w:rsidRPr="0047155E" w:rsidRDefault="00CC6012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9798A" w:rsidRPr="0047155E" w:rsidRDefault="00F011DA" w:rsidP="00F01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</w:r>
      <w:r w:rsidR="00C9798A" w:rsidRPr="0047155E">
        <w:rPr>
          <w:rFonts w:ascii="Arial" w:hAnsi="Arial" w:cs="Arial"/>
          <w:sz w:val="20"/>
          <w:szCs w:val="20"/>
        </w:rPr>
        <w:t>Entre</w:t>
      </w:r>
      <w:r w:rsidR="001E7DAD" w:rsidRPr="0047155E">
        <w:rPr>
          <w:rFonts w:ascii="Arial" w:hAnsi="Arial" w:cs="Arial"/>
          <w:sz w:val="20"/>
          <w:szCs w:val="20"/>
        </w:rPr>
        <w:t xml:space="preserve"> junho/2010 </w:t>
      </w:r>
      <w:r w:rsidR="00C9798A" w:rsidRPr="0047155E">
        <w:rPr>
          <w:rFonts w:ascii="Arial" w:hAnsi="Arial" w:cs="Arial"/>
          <w:sz w:val="20"/>
          <w:szCs w:val="20"/>
        </w:rPr>
        <w:t>e</w:t>
      </w:r>
      <w:r w:rsidR="001E7DAD" w:rsidRPr="0047155E">
        <w:rPr>
          <w:rFonts w:ascii="Arial" w:hAnsi="Arial" w:cs="Arial"/>
          <w:sz w:val="20"/>
          <w:szCs w:val="20"/>
        </w:rPr>
        <w:t xml:space="preserve"> maio de 2011 foram encontrados 56 prontuários (</w:t>
      </w:r>
      <w:r w:rsidR="005C78FE" w:rsidRPr="0047155E">
        <w:rPr>
          <w:rFonts w:ascii="Arial" w:hAnsi="Arial" w:cs="Arial"/>
          <w:sz w:val="20"/>
          <w:szCs w:val="20"/>
        </w:rPr>
        <w:t>30,8</w:t>
      </w:r>
      <w:r w:rsidR="001E7DAD" w:rsidRPr="0047155E">
        <w:rPr>
          <w:rFonts w:ascii="Arial" w:hAnsi="Arial" w:cs="Arial"/>
          <w:sz w:val="20"/>
          <w:szCs w:val="20"/>
        </w:rPr>
        <w:t xml:space="preserve">%) ausentes da USF por um </w:t>
      </w:r>
      <w:r w:rsidR="00C9798A" w:rsidRPr="0047155E">
        <w:rPr>
          <w:rFonts w:ascii="Arial" w:hAnsi="Arial" w:cs="Arial"/>
          <w:sz w:val="20"/>
          <w:szCs w:val="20"/>
        </w:rPr>
        <w:t xml:space="preserve">a dozes </w:t>
      </w:r>
      <w:r w:rsidR="001E7DAD" w:rsidRPr="0047155E">
        <w:rPr>
          <w:rFonts w:ascii="Arial" w:hAnsi="Arial" w:cs="Arial"/>
          <w:sz w:val="20"/>
          <w:szCs w:val="20"/>
        </w:rPr>
        <w:t>m</w:t>
      </w:r>
      <w:r w:rsidR="00C9798A" w:rsidRPr="0047155E">
        <w:rPr>
          <w:rFonts w:ascii="Arial" w:hAnsi="Arial" w:cs="Arial"/>
          <w:sz w:val="20"/>
          <w:szCs w:val="20"/>
        </w:rPr>
        <w:t>e</w:t>
      </w:r>
      <w:r w:rsidR="001E7DAD" w:rsidRPr="0047155E">
        <w:rPr>
          <w:rFonts w:ascii="Arial" w:hAnsi="Arial" w:cs="Arial"/>
          <w:sz w:val="20"/>
          <w:szCs w:val="20"/>
        </w:rPr>
        <w:t>s</w:t>
      </w:r>
      <w:r w:rsidR="00C9798A" w:rsidRPr="0047155E">
        <w:rPr>
          <w:rFonts w:ascii="Arial" w:hAnsi="Arial" w:cs="Arial"/>
          <w:sz w:val="20"/>
          <w:szCs w:val="20"/>
        </w:rPr>
        <w:t xml:space="preserve">es, dentre os 182 usuários da USF Timbó II cadastrados no </w:t>
      </w:r>
      <w:proofErr w:type="spellStart"/>
      <w:proofErr w:type="gramStart"/>
      <w:r w:rsidR="00C9798A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="001E7DAD" w:rsidRPr="0047155E">
        <w:rPr>
          <w:rFonts w:ascii="Arial" w:hAnsi="Arial" w:cs="Arial"/>
          <w:sz w:val="20"/>
          <w:szCs w:val="20"/>
        </w:rPr>
        <w:t xml:space="preserve">. </w:t>
      </w:r>
    </w:p>
    <w:p w:rsidR="00F011DA" w:rsidRPr="0047155E" w:rsidRDefault="00F011DA" w:rsidP="00C97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O Gráfico </w:t>
      </w:r>
      <w:proofErr w:type="gramStart"/>
      <w:r w:rsidRPr="0047155E">
        <w:rPr>
          <w:rFonts w:ascii="Arial" w:hAnsi="Arial" w:cs="Arial"/>
          <w:sz w:val="20"/>
          <w:szCs w:val="20"/>
        </w:rPr>
        <w:t>1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mostra a distribuição deste absenteísmo entre os usuários cadastrados em função do número de meses que não compareceram </w:t>
      </w:r>
      <w:r w:rsidR="001E7DAD" w:rsidRPr="0047155E">
        <w:rPr>
          <w:rFonts w:ascii="Arial" w:hAnsi="Arial" w:cs="Arial"/>
          <w:sz w:val="20"/>
          <w:szCs w:val="20"/>
        </w:rPr>
        <w:t>à rotina de acompanhamento da aferição de glicemia e pressão arterial no último ano</w:t>
      </w:r>
      <w:r w:rsidRPr="0047155E">
        <w:rPr>
          <w:rFonts w:ascii="Arial" w:hAnsi="Arial" w:cs="Arial"/>
          <w:sz w:val="20"/>
          <w:szCs w:val="20"/>
        </w:rPr>
        <w:t xml:space="preserve">. </w:t>
      </w:r>
    </w:p>
    <w:p w:rsidR="001D3462" w:rsidRPr="0047155E" w:rsidRDefault="001D3462" w:rsidP="00F01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6E18" w:rsidRPr="0047155E" w:rsidRDefault="001E7DAD" w:rsidP="00956E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 xml:space="preserve">Gráfico </w:t>
      </w:r>
      <w:proofErr w:type="gramStart"/>
      <w:r w:rsidRPr="0047155E">
        <w:rPr>
          <w:rFonts w:ascii="Arial" w:hAnsi="Arial" w:cs="Arial"/>
          <w:b/>
          <w:sz w:val="20"/>
          <w:szCs w:val="20"/>
        </w:rPr>
        <w:t>1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: Distribuição do absenteísmo (meses) dos usuários cadastrados </w:t>
      </w:r>
    </w:p>
    <w:p w:rsidR="001E7DAD" w:rsidRPr="0047155E" w:rsidRDefault="001E7DAD" w:rsidP="00956E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7155E">
        <w:rPr>
          <w:rFonts w:ascii="Arial" w:hAnsi="Arial" w:cs="Arial"/>
          <w:sz w:val="20"/>
          <w:szCs w:val="20"/>
        </w:rPr>
        <w:t>no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adstritos na USF Timbó II nos últimos 12 meses (n=56)</w:t>
      </w:r>
    </w:p>
    <w:p w:rsidR="001E7DAD" w:rsidRPr="0047155E" w:rsidRDefault="001E7DAD" w:rsidP="003C2A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CD33C7A" wp14:editId="7EC3F580">
            <wp:extent cx="3763108" cy="2435469"/>
            <wp:effectExtent l="38100" t="0" r="27940" b="222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6750" w:rsidRPr="0047155E" w:rsidRDefault="003C2A14" w:rsidP="003C2A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Dados colhidos em jun</w:t>
      </w:r>
      <w:r w:rsidR="00A453B9" w:rsidRPr="0047155E">
        <w:rPr>
          <w:rFonts w:ascii="Arial" w:hAnsi="Arial" w:cs="Arial"/>
          <w:sz w:val="20"/>
          <w:szCs w:val="20"/>
        </w:rPr>
        <w:t xml:space="preserve">ho de 2011 </w:t>
      </w:r>
      <w:r w:rsidRPr="0047155E">
        <w:rPr>
          <w:rFonts w:ascii="Arial" w:hAnsi="Arial" w:cs="Arial"/>
          <w:sz w:val="20"/>
          <w:szCs w:val="20"/>
        </w:rPr>
        <w:t>a partir de</w:t>
      </w:r>
      <w:r w:rsidR="00A453B9" w:rsidRPr="0047155E">
        <w:rPr>
          <w:rFonts w:ascii="Arial" w:hAnsi="Arial" w:cs="Arial"/>
          <w:sz w:val="20"/>
          <w:szCs w:val="20"/>
        </w:rPr>
        <w:t xml:space="preserve"> pesquisa de prontuário</w:t>
      </w:r>
    </w:p>
    <w:p w:rsidR="00F011DA" w:rsidRPr="0047155E" w:rsidRDefault="00F011DA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E7DAD" w:rsidRPr="0047155E" w:rsidRDefault="00F011DA" w:rsidP="00C979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</w:r>
      <w:r w:rsidR="001E7DAD" w:rsidRPr="0047155E">
        <w:rPr>
          <w:rFonts w:ascii="Arial" w:hAnsi="Arial" w:cs="Arial"/>
          <w:sz w:val="20"/>
          <w:szCs w:val="20"/>
        </w:rPr>
        <w:t>Além destes, também foram identificados 17 prontuários de usuários que não moravam mais na comunidade à época da coleta de dados, mas a Equipe explicou que, como há enorme rotatividade dos usuários, ou seja, muitos se mudam constantemente para fora e de volta para a comunidade durante o mesmo ano, as fichas não são arquivadas de imediato.</w:t>
      </w:r>
    </w:p>
    <w:p w:rsidR="001332D6" w:rsidRPr="0047155E" w:rsidRDefault="00C9798A" w:rsidP="001E7D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Lembrando que das</w:t>
      </w:r>
      <w:r w:rsidR="00F011DA" w:rsidRPr="0047155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011DA" w:rsidRPr="0047155E">
        <w:rPr>
          <w:rFonts w:ascii="Arial" w:hAnsi="Arial" w:cs="Arial"/>
          <w:sz w:val="20"/>
          <w:szCs w:val="20"/>
        </w:rPr>
        <w:t>5</w:t>
      </w:r>
      <w:proofErr w:type="gramEnd"/>
      <w:r w:rsidR="00F011DA" w:rsidRPr="0047155E">
        <w:rPr>
          <w:rFonts w:ascii="Arial" w:hAnsi="Arial" w:cs="Arial"/>
          <w:sz w:val="20"/>
          <w:szCs w:val="20"/>
        </w:rPr>
        <w:t xml:space="preserve"> micro</w:t>
      </w:r>
      <w:r w:rsidR="00AD194E" w:rsidRPr="0047155E">
        <w:rPr>
          <w:rFonts w:ascii="Arial" w:hAnsi="Arial" w:cs="Arial"/>
          <w:sz w:val="20"/>
          <w:szCs w:val="20"/>
        </w:rPr>
        <w:t xml:space="preserve"> </w:t>
      </w:r>
      <w:r w:rsidR="00F011DA" w:rsidRPr="0047155E">
        <w:rPr>
          <w:rFonts w:ascii="Arial" w:hAnsi="Arial" w:cs="Arial"/>
          <w:sz w:val="20"/>
          <w:szCs w:val="20"/>
        </w:rPr>
        <w:t xml:space="preserve">áreas </w:t>
      </w:r>
      <w:r w:rsidR="001332D6" w:rsidRPr="0047155E">
        <w:rPr>
          <w:rFonts w:ascii="Arial" w:hAnsi="Arial" w:cs="Arial"/>
          <w:sz w:val="20"/>
          <w:szCs w:val="20"/>
        </w:rPr>
        <w:t xml:space="preserve">(Figura 1) </w:t>
      </w:r>
      <w:r w:rsidRPr="0047155E">
        <w:rPr>
          <w:rFonts w:ascii="Arial" w:hAnsi="Arial" w:cs="Arial"/>
          <w:sz w:val="20"/>
          <w:szCs w:val="20"/>
        </w:rPr>
        <w:t xml:space="preserve">de adstrição da comunidade, </w:t>
      </w:r>
      <w:r w:rsidR="00F011DA" w:rsidRPr="0047155E">
        <w:rPr>
          <w:rFonts w:ascii="Arial" w:hAnsi="Arial" w:cs="Arial"/>
          <w:sz w:val="20"/>
          <w:szCs w:val="20"/>
        </w:rPr>
        <w:t xml:space="preserve">duas estão descobertas, ou seja, sem cobertura por </w:t>
      </w:r>
      <w:r w:rsidR="00244BB0" w:rsidRPr="0047155E">
        <w:rPr>
          <w:rFonts w:ascii="Arial" w:hAnsi="Arial" w:cs="Arial"/>
          <w:sz w:val="20"/>
          <w:szCs w:val="20"/>
        </w:rPr>
        <w:t>Agentes Comunitários de Saúde (</w:t>
      </w:r>
      <w:r w:rsidR="00F011DA" w:rsidRPr="0047155E">
        <w:rPr>
          <w:rFonts w:ascii="Arial" w:hAnsi="Arial" w:cs="Arial"/>
          <w:sz w:val="20"/>
          <w:szCs w:val="20"/>
        </w:rPr>
        <w:t>ACS</w:t>
      </w:r>
      <w:r w:rsidR="00244BB0" w:rsidRPr="0047155E">
        <w:rPr>
          <w:rFonts w:ascii="Arial" w:hAnsi="Arial" w:cs="Arial"/>
          <w:sz w:val="20"/>
          <w:szCs w:val="20"/>
        </w:rPr>
        <w:t>)</w:t>
      </w:r>
      <w:r w:rsidRPr="0047155E">
        <w:rPr>
          <w:rFonts w:ascii="Arial" w:hAnsi="Arial" w:cs="Arial"/>
          <w:sz w:val="20"/>
          <w:szCs w:val="20"/>
        </w:rPr>
        <w:t>, f</w:t>
      </w:r>
      <w:r w:rsidR="00F011DA" w:rsidRPr="0047155E">
        <w:rPr>
          <w:rFonts w:ascii="Arial" w:hAnsi="Arial" w:cs="Arial"/>
          <w:sz w:val="20"/>
          <w:szCs w:val="20"/>
        </w:rPr>
        <w:t xml:space="preserve">oi feita a análise do absenteísmo no </w:t>
      </w:r>
      <w:proofErr w:type="spell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r w:rsidR="00F011DA" w:rsidRPr="0047155E">
        <w:rPr>
          <w:rFonts w:ascii="Arial" w:hAnsi="Arial" w:cs="Arial"/>
          <w:sz w:val="20"/>
          <w:szCs w:val="20"/>
        </w:rPr>
        <w:t xml:space="preserve"> em função da micro</w:t>
      </w:r>
      <w:r w:rsidR="00AD194E" w:rsidRPr="0047155E">
        <w:rPr>
          <w:rFonts w:ascii="Arial" w:hAnsi="Arial" w:cs="Arial"/>
          <w:sz w:val="20"/>
          <w:szCs w:val="20"/>
        </w:rPr>
        <w:t xml:space="preserve"> </w:t>
      </w:r>
      <w:r w:rsidR="00F011DA" w:rsidRPr="0047155E">
        <w:rPr>
          <w:rFonts w:ascii="Arial" w:hAnsi="Arial" w:cs="Arial"/>
          <w:sz w:val="20"/>
          <w:szCs w:val="20"/>
        </w:rPr>
        <w:t>área dos usuários</w:t>
      </w:r>
      <w:r w:rsidRPr="0047155E">
        <w:rPr>
          <w:rFonts w:ascii="Arial" w:hAnsi="Arial" w:cs="Arial"/>
          <w:sz w:val="20"/>
          <w:szCs w:val="20"/>
        </w:rPr>
        <w:t xml:space="preserve"> (</w:t>
      </w:r>
      <w:r w:rsidR="00F011DA" w:rsidRPr="0047155E">
        <w:rPr>
          <w:rFonts w:ascii="Arial" w:hAnsi="Arial" w:cs="Arial"/>
          <w:sz w:val="20"/>
          <w:szCs w:val="20"/>
        </w:rPr>
        <w:t>Gráfico 2</w:t>
      </w:r>
      <w:r w:rsidRPr="0047155E">
        <w:rPr>
          <w:rFonts w:ascii="Arial" w:hAnsi="Arial" w:cs="Arial"/>
          <w:sz w:val="20"/>
          <w:szCs w:val="20"/>
        </w:rPr>
        <w:t>)</w:t>
      </w:r>
      <w:r w:rsidR="00F011DA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 </w:t>
      </w:r>
    </w:p>
    <w:p w:rsidR="00C9798A" w:rsidRPr="0047155E" w:rsidRDefault="00C9798A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DE24E1" w:rsidRPr="0047155E" w:rsidRDefault="003C2A14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 xml:space="preserve">Gráfico </w:t>
      </w:r>
      <w:proofErr w:type="gramStart"/>
      <w:r w:rsidRPr="0047155E">
        <w:rPr>
          <w:rFonts w:ascii="Arial" w:hAnsi="Arial" w:cs="Arial"/>
          <w:b/>
          <w:sz w:val="20"/>
          <w:szCs w:val="20"/>
        </w:rPr>
        <w:t>2</w:t>
      </w:r>
      <w:proofErr w:type="gramEnd"/>
      <w:r w:rsidRPr="0047155E">
        <w:rPr>
          <w:rFonts w:ascii="Arial" w:hAnsi="Arial" w:cs="Arial"/>
          <w:sz w:val="20"/>
          <w:szCs w:val="20"/>
        </w:rPr>
        <w:t>: Distribuição do a</w:t>
      </w:r>
      <w:r w:rsidRPr="0047155E">
        <w:rPr>
          <w:rFonts w:ascii="Arial" w:hAnsi="Arial" w:cs="Arial"/>
          <w:bCs/>
          <w:sz w:val="20"/>
          <w:szCs w:val="20"/>
        </w:rPr>
        <w:t xml:space="preserve">bsenteísmo </w:t>
      </w:r>
      <w:r w:rsidR="00DE24E1" w:rsidRPr="0047155E">
        <w:rPr>
          <w:rFonts w:ascii="Arial" w:hAnsi="Arial" w:cs="Arial"/>
          <w:bCs/>
          <w:sz w:val="20"/>
          <w:szCs w:val="20"/>
        </w:rPr>
        <w:t xml:space="preserve">dos usuários, cadastrados no </w:t>
      </w:r>
      <w:proofErr w:type="spellStart"/>
      <w:r w:rsidR="00DE24E1" w:rsidRPr="0047155E">
        <w:rPr>
          <w:rFonts w:ascii="Arial" w:hAnsi="Arial" w:cs="Arial"/>
          <w:bCs/>
          <w:i/>
          <w:sz w:val="20"/>
          <w:szCs w:val="20"/>
        </w:rPr>
        <w:t>HiperDia</w:t>
      </w:r>
      <w:proofErr w:type="spellEnd"/>
      <w:r w:rsidR="00DE24E1" w:rsidRPr="0047155E">
        <w:rPr>
          <w:rFonts w:ascii="Arial" w:hAnsi="Arial" w:cs="Arial"/>
          <w:bCs/>
          <w:sz w:val="20"/>
          <w:szCs w:val="20"/>
        </w:rPr>
        <w:t xml:space="preserve"> na </w:t>
      </w:r>
    </w:p>
    <w:p w:rsidR="003C2A14" w:rsidRPr="0047155E" w:rsidRDefault="00DE24E1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47155E">
        <w:rPr>
          <w:rFonts w:ascii="Arial" w:hAnsi="Arial" w:cs="Arial"/>
          <w:bCs/>
          <w:sz w:val="20"/>
          <w:szCs w:val="20"/>
        </w:rPr>
        <w:t xml:space="preserve">USF Timbó II, </w:t>
      </w:r>
      <w:r w:rsidR="00D67FBA" w:rsidRPr="0047155E">
        <w:rPr>
          <w:rFonts w:ascii="Arial" w:hAnsi="Arial" w:cs="Arial"/>
          <w:bCs/>
          <w:sz w:val="20"/>
          <w:szCs w:val="20"/>
        </w:rPr>
        <w:t>no último ano</w:t>
      </w:r>
      <w:r w:rsidRPr="0047155E">
        <w:rPr>
          <w:rFonts w:ascii="Arial" w:hAnsi="Arial" w:cs="Arial"/>
          <w:bCs/>
          <w:sz w:val="20"/>
          <w:szCs w:val="20"/>
        </w:rPr>
        <w:t>,</w:t>
      </w:r>
      <w:r w:rsidR="00D67FBA" w:rsidRPr="0047155E">
        <w:rPr>
          <w:rFonts w:ascii="Arial" w:hAnsi="Arial" w:cs="Arial"/>
          <w:bCs/>
          <w:sz w:val="20"/>
          <w:szCs w:val="20"/>
        </w:rPr>
        <w:t xml:space="preserve"> </w:t>
      </w:r>
      <w:r w:rsidRPr="0047155E">
        <w:rPr>
          <w:rFonts w:ascii="Arial" w:hAnsi="Arial" w:cs="Arial"/>
          <w:bCs/>
          <w:sz w:val="20"/>
          <w:szCs w:val="20"/>
        </w:rPr>
        <w:t xml:space="preserve">de acordo com </w:t>
      </w:r>
      <w:r w:rsidR="003C2A14" w:rsidRPr="0047155E">
        <w:rPr>
          <w:rFonts w:ascii="Arial" w:hAnsi="Arial" w:cs="Arial"/>
          <w:bCs/>
          <w:sz w:val="20"/>
          <w:szCs w:val="20"/>
        </w:rPr>
        <w:t xml:space="preserve">as </w:t>
      </w:r>
      <w:proofErr w:type="gramStart"/>
      <w:r w:rsidR="003C2A14" w:rsidRPr="0047155E">
        <w:rPr>
          <w:rFonts w:ascii="Arial" w:hAnsi="Arial" w:cs="Arial"/>
          <w:bCs/>
          <w:sz w:val="20"/>
          <w:szCs w:val="20"/>
        </w:rPr>
        <w:t>5</w:t>
      </w:r>
      <w:proofErr w:type="gramEnd"/>
      <w:r w:rsidR="003C2A14" w:rsidRPr="0047155E">
        <w:rPr>
          <w:rFonts w:ascii="Arial" w:hAnsi="Arial" w:cs="Arial"/>
          <w:bCs/>
          <w:sz w:val="20"/>
          <w:szCs w:val="20"/>
        </w:rPr>
        <w:t xml:space="preserve">  micro áreas</w:t>
      </w:r>
      <w:r w:rsidRPr="0047155E">
        <w:rPr>
          <w:rFonts w:ascii="Arial" w:hAnsi="Arial" w:cs="Arial"/>
          <w:bCs/>
          <w:sz w:val="20"/>
          <w:szCs w:val="20"/>
        </w:rPr>
        <w:t xml:space="preserve"> (</w:t>
      </w:r>
      <w:r w:rsidR="00C9798A" w:rsidRPr="0047155E">
        <w:rPr>
          <w:rFonts w:ascii="Arial" w:hAnsi="Arial" w:cs="Arial"/>
          <w:bCs/>
          <w:sz w:val="20"/>
          <w:szCs w:val="20"/>
        </w:rPr>
        <w:t>n=56</w:t>
      </w:r>
      <w:r w:rsidRPr="0047155E">
        <w:rPr>
          <w:rFonts w:ascii="Arial" w:hAnsi="Arial" w:cs="Arial"/>
          <w:bCs/>
          <w:sz w:val="20"/>
          <w:szCs w:val="20"/>
        </w:rPr>
        <w:t>)</w:t>
      </w:r>
      <w:r w:rsidR="00D67FBA" w:rsidRPr="0047155E">
        <w:rPr>
          <w:rFonts w:ascii="Arial" w:hAnsi="Arial" w:cs="Arial"/>
          <w:bCs/>
          <w:sz w:val="20"/>
          <w:szCs w:val="20"/>
        </w:rPr>
        <w:t xml:space="preserve"> </w:t>
      </w:r>
    </w:p>
    <w:p w:rsidR="003C2A14" w:rsidRPr="0047155E" w:rsidRDefault="00073C9F" w:rsidP="003C2A14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47155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EAE1FF8" wp14:editId="390D394C">
            <wp:extent cx="3303373" cy="2479589"/>
            <wp:effectExtent l="38100" t="0" r="4953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2A14" w:rsidRPr="0047155E" w:rsidRDefault="003C2A14" w:rsidP="003C2A1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Dados colhidos em junho de 2011 a partir de pesquisa de prontuário</w:t>
      </w:r>
    </w:p>
    <w:p w:rsidR="002B0747" w:rsidRPr="0047155E" w:rsidRDefault="002B0747" w:rsidP="002B07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lastRenderedPageBreak/>
        <w:t xml:space="preserve">Enquanto a micro área IV e V apresentam maior (36%) e menor (11%) índices de absenteísmo, respectivamente (Gráfico </w:t>
      </w:r>
      <w:proofErr w:type="gramStart"/>
      <w:r w:rsidRPr="0047155E">
        <w:rPr>
          <w:rFonts w:ascii="Arial" w:hAnsi="Arial" w:cs="Arial"/>
          <w:sz w:val="20"/>
          <w:szCs w:val="20"/>
        </w:rPr>
        <w:t>2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). </w:t>
      </w:r>
    </w:p>
    <w:p w:rsidR="00C9798A" w:rsidRPr="0047155E" w:rsidRDefault="00C9798A" w:rsidP="002B07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Analisando o absenteísmo mês-a-mês (Gráfico </w:t>
      </w:r>
      <w:proofErr w:type="gramStart"/>
      <w:r w:rsidRPr="0047155E">
        <w:rPr>
          <w:rFonts w:ascii="Arial" w:hAnsi="Arial" w:cs="Arial"/>
          <w:sz w:val="20"/>
          <w:szCs w:val="20"/>
        </w:rPr>
        <w:t>3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), foi possível observar que nas micro áreas I (azul) e V (vermelha) o absenteísmo é mais recente, com menos de 8 meses. </w:t>
      </w:r>
      <w:proofErr w:type="gramStart"/>
      <w:r w:rsidR="00AF00D9" w:rsidRPr="0047155E">
        <w:rPr>
          <w:rFonts w:ascii="Arial" w:hAnsi="Arial" w:cs="Arial"/>
          <w:sz w:val="20"/>
          <w:szCs w:val="20"/>
        </w:rPr>
        <w:t>Na micro</w:t>
      </w:r>
      <w:proofErr w:type="gramEnd"/>
      <w:r w:rsidR="00AF00D9" w:rsidRPr="0047155E">
        <w:rPr>
          <w:rFonts w:ascii="Arial" w:hAnsi="Arial" w:cs="Arial"/>
          <w:sz w:val="20"/>
          <w:szCs w:val="20"/>
        </w:rPr>
        <w:t xml:space="preserve"> área IV (vermelha), inclusive, o absenteísmo é menor ou igual a 3 meses </w:t>
      </w:r>
      <w:r w:rsidRPr="0047155E">
        <w:rPr>
          <w:rFonts w:ascii="Arial" w:hAnsi="Arial" w:cs="Arial"/>
          <w:sz w:val="20"/>
          <w:szCs w:val="20"/>
        </w:rPr>
        <w:t xml:space="preserve">As micro </w:t>
      </w:r>
      <w:r w:rsidR="00AF00D9" w:rsidRPr="0047155E">
        <w:rPr>
          <w:rFonts w:ascii="Arial" w:hAnsi="Arial" w:cs="Arial"/>
          <w:sz w:val="20"/>
          <w:szCs w:val="20"/>
        </w:rPr>
        <w:t xml:space="preserve">áreas </w:t>
      </w:r>
      <w:r w:rsidRPr="0047155E">
        <w:rPr>
          <w:rFonts w:ascii="Arial" w:hAnsi="Arial" w:cs="Arial"/>
          <w:sz w:val="20"/>
          <w:szCs w:val="20"/>
        </w:rPr>
        <w:t xml:space="preserve">III (amarela) e IV (laranja), as mais distantes da USF Timbó II (Figura 1), concentram os usuários cadastrados no </w:t>
      </w:r>
      <w:proofErr w:type="spellStart"/>
      <w:r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com absenteísmo maior do que 9 meses.</w:t>
      </w:r>
      <w:r w:rsidR="00AF00D9" w:rsidRPr="0047155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00D9" w:rsidRPr="0047155E">
        <w:rPr>
          <w:rFonts w:ascii="Arial" w:hAnsi="Arial" w:cs="Arial"/>
          <w:sz w:val="20"/>
          <w:szCs w:val="20"/>
        </w:rPr>
        <w:t>A micro</w:t>
      </w:r>
      <w:proofErr w:type="gramEnd"/>
      <w:r w:rsidR="00AF00D9" w:rsidRPr="0047155E">
        <w:rPr>
          <w:rFonts w:ascii="Arial" w:hAnsi="Arial" w:cs="Arial"/>
          <w:sz w:val="20"/>
          <w:szCs w:val="20"/>
        </w:rPr>
        <w:t xml:space="preserve"> área II (rosa), próxima à USF apresentou pouco absenteísmo (14% dos 56 encontrados), semelhante à </w:t>
      </w:r>
      <w:proofErr w:type="spellStart"/>
      <w:r w:rsidR="00AF00D9" w:rsidRPr="0047155E">
        <w:rPr>
          <w:rFonts w:ascii="Arial" w:hAnsi="Arial" w:cs="Arial"/>
          <w:sz w:val="20"/>
          <w:szCs w:val="20"/>
        </w:rPr>
        <w:t>microárea</w:t>
      </w:r>
      <w:proofErr w:type="spellEnd"/>
      <w:r w:rsidR="00AF00D9" w:rsidRPr="0047155E">
        <w:rPr>
          <w:rFonts w:ascii="Arial" w:hAnsi="Arial" w:cs="Arial"/>
          <w:sz w:val="20"/>
          <w:szCs w:val="20"/>
        </w:rPr>
        <w:t xml:space="preserve"> V (vermelha), mas com dois usuários ausentes a mais de 10 meses.</w:t>
      </w:r>
    </w:p>
    <w:p w:rsidR="00C9798A" w:rsidRPr="0047155E" w:rsidRDefault="00C9798A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56E18" w:rsidRPr="0047155E" w:rsidRDefault="00002129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 xml:space="preserve">Gráfico </w:t>
      </w:r>
      <w:proofErr w:type="gramStart"/>
      <w:r w:rsidRPr="0047155E">
        <w:rPr>
          <w:rFonts w:ascii="Arial" w:hAnsi="Arial" w:cs="Arial"/>
          <w:b/>
          <w:sz w:val="20"/>
          <w:szCs w:val="20"/>
        </w:rPr>
        <w:t>3</w:t>
      </w:r>
      <w:proofErr w:type="gramEnd"/>
      <w:r w:rsidRPr="0047155E">
        <w:rPr>
          <w:rFonts w:ascii="Arial" w:hAnsi="Arial" w:cs="Arial"/>
          <w:sz w:val="20"/>
          <w:szCs w:val="20"/>
        </w:rPr>
        <w:t>: Distribuição do absenteísmo (meses) dos usuários cadastrados</w:t>
      </w:r>
      <w:r w:rsidR="00956E18" w:rsidRPr="0047155E">
        <w:rPr>
          <w:rFonts w:ascii="Arial" w:hAnsi="Arial" w:cs="Arial"/>
          <w:sz w:val="20"/>
          <w:szCs w:val="20"/>
        </w:rPr>
        <w:t xml:space="preserve"> no</w:t>
      </w:r>
    </w:p>
    <w:p w:rsidR="00002129" w:rsidRPr="0047155E" w:rsidRDefault="00956E18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="00002129" w:rsidRPr="0047155E">
        <w:rPr>
          <w:rFonts w:ascii="Arial" w:hAnsi="Arial" w:cs="Arial"/>
          <w:sz w:val="20"/>
          <w:szCs w:val="20"/>
        </w:rPr>
        <w:t xml:space="preserve"> por micro área adstrita à USF Timbó II (n=56)</w:t>
      </w:r>
    </w:p>
    <w:p w:rsidR="00002129" w:rsidRPr="0047155E" w:rsidRDefault="00002129" w:rsidP="00002129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B5BE808" wp14:editId="1FE1696E">
            <wp:extent cx="5605670" cy="2832652"/>
            <wp:effectExtent l="0" t="0" r="14605" b="254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129" w:rsidRPr="0047155E" w:rsidRDefault="00002129" w:rsidP="000021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Dados colhidos em junho de 2011 a partir de pesquisa de prontuário</w:t>
      </w:r>
    </w:p>
    <w:p w:rsidR="002B0747" w:rsidRPr="0047155E" w:rsidRDefault="002B0747" w:rsidP="000021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F47F5E" w:rsidRPr="0047155E" w:rsidRDefault="00002129" w:rsidP="00C9798A">
      <w:pPr>
        <w:pStyle w:val="PargrafodaLista"/>
        <w:tabs>
          <w:tab w:val="left" w:pos="426"/>
        </w:tabs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Conforme tem sido feito ao longo destes quase </w:t>
      </w:r>
      <w:proofErr w:type="gramStart"/>
      <w:r w:rsidRPr="0047155E">
        <w:rPr>
          <w:rFonts w:ascii="Arial" w:hAnsi="Arial" w:cs="Arial"/>
          <w:sz w:val="20"/>
          <w:szCs w:val="20"/>
        </w:rPr>
        <w:t>5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anos de parceria, em reunião ocorrida em 16 de setembro de 2011, os dados colhidos </w:t>
      </w:r>
      <w:r w:rsidR="001D3462" w:rsidRPr="0047155E">
        <w:rPr>
          <w:rFonts w:ascii="Arial" w:hAnsi="Arial" w:cs="Arial"/>
          <w:sz w:val="20"/>
          <w:szCs w:val="20"/>
        </w:rPr>
        <w:t xml:space="preserve">em junho e analisados pelos extensionistas </w:t>
      </w:r>
      <w:r w:rsidRPr="0047155E">
        <w:rPr>
          <w:rFonts w:ascii="Arial" w:hAnsi="Arial" w:cs="Arial"/>
          <w:sz w:val="20"/>
          <w:szCs w:val="20"/>
        </w:rPr>
        <w:t xml:space="preserve">foram </w:t>
      </w:r>
      <w:r w:rsidR="001D3462" w:rsidRPr="0047155E">
        <w:rPr>
          <w:rFonts w:ascii="Arial" w:hAnsi="Arial" w:cs="Arial"/>
          <w:sz w:val="20"/>
          <w:szCs w:val="20"/>
        </w:rPr>
        <w:t>apreciados</w:t>
      </w:r>
      <w:r w:rsidRPr="0047155E">
        <w:rPr>
          <w:rFonts w:ascii="Arial" w:hAnsi="Arial" w:cs="Arial"/>
          <w:sz w:val="20"/>
          <w:szCs w:val="20"/>
        </w:rPr>
        <w:t xml:space="preserve"> </w:t>
      </w:r>
      <w:r w:rsidR="00417889" w:rsidRPr="0047155E">
        <w:rPr>
          <w:rFonts w:ascii="Arial" w:hAnsi="Arial" w:cs="Arial"/>
          <w:sz w:val="20"/>
          <w:szCs w:val="20"/>
        </w:rPr>
        <w:t>pela</w:t>
      </w:r>
      <w:r w:rsidR="001D3462" w:rsidRPr="0047155E">
        <w:rPr>
          <w:rFonts w:ascii="Arial" w:hAnsi="Arial" w:cs="Arial"/>
          <w:sz w:val="20"/>
          <w:szCs w:val="20"/>
        </w:rPr>
        <w:t xml:space="preserve"> Equipe da USF Timbó II</w:t>
      </w:r>
      <w:r w:rsidR="00417889" w:rsidRPr="0047155E">
        <w:rPr>
          <w:rFonts w:ascii="Arial" w:hAnsi="Arial" w:cs="Arial"/>
          <w:sz w:val="20"/>
          <w:szCs w:val="20"/>
        </w:rPr>
        <w:t>. F</w:t>
      </w:r>
      <w:r w:rsidRPr="0047155E">
        <w:rPr>
          <w:rFonts w:ascii="Arial" w:hAnsi="Arial" w:cs="Arial"/>
          <w:sz w:val="20"/>
          <w:szCs w:val="20"/>
        </w:rPr>
        <w:t>oram</w:t>
      </w:r>
      <w:r w:rsidR="00417889" w:rsidRPr="0047155E">
        <w:rPr>
          <w:rFonts w:ascii="Arial" w:hAnsi="Arial" w:cs="Arial"/>
          <w:sz w:val="20"/>
          <w:szCs w:val="20"/>
        </w:rPr>
        <w:t xml:space="preserve"> então </w:t>
      </w:r>
      <w:r w:rsidR="001D3462" w:rsidRPr="0047155E">
        <w:rPr>
          <w:rFonts w:ascii="Arial" w:hAnsi="Arial" w:cs="Arial"/>
          <w:sz w:val="20"/>
          <w:szCs w:val="20"/>
        </w:rPr>
        <w:t>pontua</w:t>
      </w:r>
      <w:r w:rsidR="00417889" w:rsidRPr="0047155E">
        <w:rPr>
          <w:rFonts w:ascii="Arial" w:hAnsi="Arial" w:cs="Arial"/>
          <w:sz w:val="20"/>
          <w:szCs w:val="20"/>
        </w:rPr>
        <w:t>das</w:t>
      </w:r>
      <w:r w:rsidRPr="0047155E">
        <w:rPr>
          <w:rFonts w:ascii="Arial" w:hAnsi="Arial" w:cs="Arial"/>
          <w:sz w:val="20"/>
          <w:szCs w:val="20"/>
        </w:rPr>
        <w:t xml:space="preserve"> algumas justificativas para </w:t>
      </w:r>
      <w:r w:rsidR="00417889" w:rsidRPr="0047155E">
        <w:rPr>
          <w:rFonts w:ascii="Arial" w:hAnsi="Arial" w:cs="Arial"/>
          <w:sz w:val="20"/>
          <w:szCs w:val="20"/>
        </w:rPr>
        <w:t>o absenteísmo</w:t>
      </w:r>
      <w:r w:rsidRPr="0047155E">
        <w:rPr>
          <w:rFonts w:ascii="Arial" w:hAnsi="Arial" w:cs="Arial"/>
          <w:sz w:val="20"/>
          <w:szCs w:val="20"/>
        </w:rPr>
        <w:t xml:space="preserve"> encontrado (Quadro </w:t>
      </w:r>
      <w:proofErr w:type="gramStart"/>
      <w:r w:rsidRPr="0047155E">
        <w:rPr>
          <w:rFonts w:ascii="Arial" w:hAnsi="Arial" w:cs="Arial"/>
          <w:sz w:val="20"/>
          <w:szCs w:val="20"/>
        </w:rPr>
        <w:t>1</w:t>
      </w:r>
      <w:proofErr w:type="gramEnd"/>
      <w:r w:rsidRPr="0047155E">
        <w:rPr>
          <w:rFonts w:ascii="Arial" w:hAnsi="Arial" w:cs="Arial"/>
          <w:sz w:val="20"/>
          <w:szCs w:val="20"/>
        </w:rPr>
        <w:t>)</w:t>
      </w:r>
      <w:r w:rsidR="00417889" w:rsidRPr="0047155E">
        <w:rPr>
          <w:rFonts w:ascii="Arial" w:hAnsi="Arial" w:cs="Arial"/>
          <w:sz w:val="20"/>
          <w:szCs w:val="20"/>
        </w:rPr>
        <w:t xml:space="preserve">. Por exemplo, </w:t>
      </w:r>
      <w:r w:rsidR="00F47F5E" w:rsidRPr="0047155E">
        <w:rPr>
          <w:rFonts w:ascii="Arial" w:hAnsi="Arial" w:cs="Arial"/>
          <w:sz w:val="20"/>
          <w:szCs w:val="20"/>
        </w:rPr>
        <w:t xml:space="preserve">a Equipe da USF Timbó II </w:t>
      </w:r>
      <w:r w:rsidR="001D3462" w:rsidRPr="0047155E">
        <w:rPr>
          <w:rFonts w:ascii="Arial" w:hAnsi="Arial" w:cs="Arial"/>
          <w:sz w:val="20"/>
          <w:szCs w:val="20"/>
        </w:rPr>
        <w:t>con</w:t>
      </w:r>
      <w:r w:rsidR="00C9798A" w:rsidRPr="0047155E">
        <w:rPr>
          <w:rFonts w:ascii="Arial" w:hAnsi="Arial" w:cs="Arial"/>
          <w:sz w:val="20"/>
          <w:szCs w:val="20"/>
        </w:rPr>
        <w:t>statou</w:t>
      </w:r>
      <w:r w:rsidR="00F47F5E" w:rsidRPr="0047155E">
        <w:rPr>
          <w:rFonts w:ascii="Arial" w:hAnsi="Arial" w:cs="Arial"/>
          <w:sz w:val="20"/>
          <w:szCs w:val="20"/>
        </w:rPr>
        <w:t xml:space="preserve"> que boa parte dos usuários ausentes</w:t>
      </w:r>
      <w:r w:rsidR="001D3462" w:rsidRPr="0047155E">
        <w:rPr>
          <w:rFonts w:ascii="Arial" w:hAnsi="Arial" w:cs="Arial"/>
          <w:sz w:val="20"/>
          <w:szCs w:val="20"/>
        </w:rPr>
        <w:t xml:space="preserve"> em junho</w:t>
      </w:r>
      <w:r w:rsidR="00F47F5E" w:rsidRPr="0047155E">
        <w:rPr>
          <w:rFonts w:ascii="Arial" w:hAnsi="Arial" w:cs="Arial"/>
          <w:sz w:val="20"/>
          <w:szCs w:val="20"/>
        </w:rPr>
        <w:t xml:space="preserve"> compareceu à USF em julho/2011 (17, 30,4%) e agosto ou setembro/2011 (</w:t>
      </w:r>
      <w:proofErr w:type="gramStart"/>
      <w:r w:rsidR="00F47F5E" w:rsidRPr="0047155E">
        <w:rPr>
          <w:rFonts w:ascii="Arial" w:hAnsi="Arial" w:cs="Arial"/>
          <w:sz w:val="20"/>
          <w:szCs w:val="20"/>
        </w:rPr>
        <w:t>4</w:t>
      </w:r>
      <w:proofErr w:type="gramEnd"/>
      <w:r w:rsidR="00F47F5E" w:rsidRPr="0047155E">
        <w:rPr>
          <w:rFonts w:ascii="Arial" w:hAnsi="Arial" w:cs="Arial"/>
          <w:sz w:val="20"/>
          <w:szCs w:val="20"/>
        </w:rPr>
        <w:t xml:space="preserve">, 7,1%). </w:t>
      </w:r>
    </w:p>
    <w:p w:rsidR="00F47F5E" w:rsidRPr="0047155E" w:rsidRDefault="001D3462" w:rsidP="00C9798A">
      <w:pPr>
        <w:pStyle w:val="PargrafodaLista"/>
        <w:tabs>
          <w:tab w:val="left" w:pos="426"/>
        </w:tabs>
        <w:spacing w:after="0" w:line="36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 Equipe da USF Timbó II, envolvida com a visita domiciliar, reconheceu que haviam registros desatualizados nos prontuários reforçando a necessidade de mais empenho para com os registros visando manter os prontuários atualizados. </w:t>
      </w:r>
      <w:r w:rsidR="00F47F5E" w:rsidRPr="0047155E">
        <w:rPr>
          <w:rFonts w:ascii="Arial" w:hAnsi="Arial" w:cs="Arial"/>
          <w:sz w:val="20"/>
          <w:szCs w:val="20"/>
        </w:rPr>
        <w:t xml:space="preserve">Dos 56 prontuários, </w:t>
      </w:r>
      <w:proofErr w:type="gramStart"/>
      <w:r w:rsidR="00F47F5E" w:rsidRPr="0047155E">
        <w:rPr>
          <w:rFonts w:ascii="Arial" w:hAnsi="Arial" w:cs="Arial"/>
          <w:sz w:val="20"/>
          <w:szCs w:val="20"/>
        </w:rPr>
        <w:t>5</w:t>
      </w:r>
      <w:proofErr w:type="gramEnd"/>
      <w:r w:rsidR="00F47F5E" w:rsidRPr="0047155E">
        <w:rPr>
          <w:rFonts w:ascii="Arial" w:hAnsi="Arial" w:cs="Arial"/>
          <w:sz w:val="20"/>
          <w:szCs w:val="20"/>
        </w:rPr>
        <w:t xml:space="preserve"> (8,9%) correspondiam a usuários identificados realmente como ausentes do controle do </w:t>
      </w:r>
      <w:proofErr w:type="spellStart"/>
      <w:r w:rsidR="00F47F5E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r w:rsidR="00F47F5E" w:rsidRPr="0047155E">
        <w:rPr>
          <w:rFonts w:ascii="Arial" w:hAnsi="Arial" w:cs="Arial"/>
          <w:sz w:val="20"/>
          <w:szCs w:val="20"/>
        </w:rPr>
        <w:t xml:space="preserve"> e a </w:t>
      </w:r>
      <w:r w:rsidR="00F47F5E" w:rsidRPr="0047155E">
        <w:rPr>
          <w:rFonts w:ascii="Arial" w:hAnsi="Arial" w:cs="Arial"/>
          <w:sz w:val="20"/>
          <w:szCs w:val="20"/>
        </w:rPr>
        <w:lastRenderedPageBreak/>
        <w:t xml:space="preserve">Equipe se comprometeu em visitá-los </w:t>
      </w:r>
      <w:r w:rsidRPr="0047155E">
        <w:rPr>
          <w:rFonts w:ascii="Arial" w:hAnsi="Arial" w:cs="Arial"/>
          <w:sz w:val="20"/>
          <w:szCs w:val="20"/>
        </w:rPr>
        <w:t>para investigar</w:t>
      </w:r>
      <w:r w:rsidR="00F47F5E" w:rsidRPr="0047155E">
        <w:rPr>
          <w:rFonts w:ascii="Arial" w:hAnsi="Arial" w:cs="Arial"/>
          <w:sz w:val="20"/>
          <w:szCs w:val="20"/>
        </w:rPr>
        <w:t xml:space="preserve"> o motivo da ausência para que providências cabíveis fossem tomadas. </w:t>
      </w:r>
    </w:p>
    <w:p w:rsidR="001D3462" w:rsidRPr="0047155E" w:rsidRDefault="001D3462" w:rsidP="00002129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6E18" w:rsidRPr="0047155E" w:rsidRDefault="00AD194E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 xml:space="preserve">Quadro </w:t>
      </w:r>
      <w:proofErr w:type="gramStart"/>
      <w:r w:rsidRPr="0047155E">
        <w:rPr>
          <w:rFonts w:ascii="Arial" w:hAnsi="Arial" w:cs="Arial"/>
          <w:b/>
          <w:sz w:val="20"/>
          <w:szCs w:val="20"/>
        </w:rPr>
        <w:t>1</w:t>
      </w:r>
      <w:proofErr w:type="gramEnd"/>
      <w:r w:rsidRPr="0047155E">
        <w:rPr>
          <w:rFonts w:ascii="Arial" w:hAnsi="Arial" w:cs="Arial"/>
          <w:b/>
          <w:sz w:val="20"/>
          <w:szCs w:val="20"/>
        </w:rPr>
        <w:t xml:space="preserve">: </w:t>
      </w:r>
      <w:r w:rsidRPr="0047155E">
        <w:rPr>
          <w:rFonts w:ascii="Arial" w:hAnsi="Arial" w:cs="Arial"/>
          <w:sz w:val="20"/>
          <w:szCs w:val="20"/>
        </w:rPr>
        <w:t>Análise do absenteísmo dos usuários adstritos na</w:t>
      </w:r>
    </w:p>
    <w:p w:rsidR="00AD194E" w:rsidRPr="0047155E" w:rsidRDefault="00AD194E" w:rsidP="00956E18">
      <w:pPr>
        <w:pStyle w:val="PargrafodaLista"/>
        <w:tabs>
          <w:tab w:val="left" w:pos="426"/>
        </w:tabs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USF Timbó II e cadastrados no </w:t>
      </w:r>
      <w:proofErr w:type="spellStart"/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pela Equipe da unidade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6580"/>
      </w:tblGrid>
      <w:tr w:rsidR="00002129" w:rsidRPr="0047155E" w:rsidTr="0045279E">
        <w:trPr>
          <w:jc w:val="center"/>
        </w:trPr>
        <w:tc>
          <w:tcPr>
            <w:tcW w:w="1768" w:type="dxa"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Situações identificadas</w:t>
            </w:r>
          </w:p>
        </w:tc>
        <w:tc>
          <w:tcPr>
            <w:tcW w:w="6580" w:type="dxa"/>
            <w:vAlign w:val="center"/>
          </w:tcPr>
          <w:p w:rsidR="00002129" w:rsidRPr="0047155E" w:rsidRDefault="005C78FE" w:rsidP="005C78FE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Explicação e/ou justificativa</w:t>
            </w:r>
          </w:p>
        </w:tc>
      </w:tr>
      <w:tr w:rsidR="00002129" w:rsidRPr="0047155E" w:rsidTr="0045279E">
        <w:trPr>
          <w:jc w:val="center"/>
        </w:trPr>
        <w:tc>
          <w:tcPr>
            <w:tcW w:w="1768" w:type="dxa"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Ausências no mês de junho/2011</w:t>
            </w:r>
          </w:p>
        </w:tc>
        <w:tc>
          <w:tcPr>
            <w:tcW w:w="6580" w:type="dxa"/>
          </w:tcPr>
          <w:p w:rsidR="00002129" w:rsidRPr="0047155E" w:rsidRDefault="00F47F5E" w:rsidP="00F47F5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 xml:space="preserve">A Equipe da USF acredita que muitos usuários se ausentaram da comunidade ou da USF neste período por conta dos festejos juninos. Além disso, o mês de junho foi excepcionalmente chuvoso dificultando o </w:t>
            </w:r>
            <w:r w:rsidR="00002129" w:rsidRPr="0047155E">
              <w:rPr>
                <w:rFonts w:ascii="Arial" w:hAnsi="Arial" w:cs="Arial"/>
                <w:sz w:val="20"/>
                <w:szCs w:val="20"/>
              </w:rPr>
              <w:t xml:space="preserve">deslocamento dos usuários </w:t>
            </w:r>
            <w:r w:rsidRPr="0047155E">
              <w:rPr>
                <w:rFonts w:ascii="Arial" w:hAnsi="Arial" w:cs="Arial"/>
                <w:sz w:val="20"/>
                <w:szCs w:val="20"/>
              </w:rPr>
              <w:t xml:space="preserve">na comunidade. </w:t>
            </w:r>
          </w:p>
          <w:p w:rsidR="00F47F5E" w:rsidRPr="0047155E" w:rsidRDefault="00F47F5E" w:rsidP="00F47F5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Tanto é que a maioria destes usuários (26, 46,4%) compareceu à USF nos meses seguintes.</w:t>
            </w:r>
          </w:p>
        </w:tc>
      </w:tr>
      <w:tr w:rsidR="00002129" w:rsidRPr="0047155E" w:rsidTr="0045279E">
        <w:trPr>
          <w:jc w:val="center"/>
        </w:trPr>
        <w:tc>
          <w:tcPr>
            <w:tcW w:w="1768" w:type="dxa"/>
            <w:vMerge w:val="restart"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Falta de registro</w:t>
            </w:r>
          </w:p>
        </w:tc>
        <w:tc>
          <w:tcPr>
            <w:tcW w:w="6580" w:type="dxa"/>
          </w:tcPr>
          <w:p w:rsidR="00002129" w:rsidRPr="0047155E" w:rsidRDefault="00F47F5E" w:rsidP="00F47F5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Nove</w:t>
            </w:r>
            <w:r w:rsidR="00002129" w:rsidRPr="0047155E">
              <w:rPr>
                <w:rFonts w:ascii="Arial" w:hAnsi="Arial" w:cs="Arial"/>
                <w:sz w:val="20"/>
                <w:szCs w:val="20"/>
              </w:rPr>
              <w:t xml:space="preserve"> casos (</w:t>
            </w:r>
            <w:r w:rsidRPr="0047155E">
              <w:rPr>
                <w:rFonts w:ascii="Arial" w:hAnsi="Arial" w:cs="Arial"/>
                <w:sz w:val="20"/>
                <w:szCs w:val="20"/>
              </w:rPr>
              <w:t>1</w:t>
            </w:r>
            <w:r w:rsidR="00002129" w:rsidRPr="0047155E">
              <w:rPr>
                <w:rFonts w:ascii="Arial" w:hAnsi="Arial" w:cs="Arial"/>
                <w:sz w:val="20"/>
                <w:szCs w:val="20"/>
              </w:rPr>
              <w:t xml:space="preserve">6,1%) foram reconhecidos como prontuários desatualizados, o que geralmente ocorria quando a Equipe estava sobrecarregada com a enorme demanda na USF ou quando a aferição de glicemia e/ou PA era feita a domicílio, incluindo a entrega </w:t>
            </w:r>
            <w:r w:rsidRPr="0047155E">
              <w:rPr>
                <w:rFonts w:ascii="Arial" w:hAnsi="Arial" w:cs="Arial"/>
                <w:sz w:val="20"/>
                <w:szCs w:val="20"/>
              </w:rPr>
              <w:t xml:space="preserve">domiciliar </w:t>
            </w:r>
            <w:r w:rsidR="00002129" w:rsidRPr="0047155E">
              <w:rPr>
                <w:rFonts w:ascii="Arial" w:hAnsi="Arial" w:cs="Arial"/>
                <w:sz w:val="20"/>
                <w:szCs w:val="20"/>
              </w:rPr>
              <w:t>da medicação.</w:t>
            </w:r>
          </w:p>
        </w:tc>
      </w:tr>
      <w:tr w:rsidR="00002129" w:rsidRPr="0047155E" w:rsidTr="0045279E">
        <w:trPr>
          <w:jc w:val="center"/>
        </w:trPr>
        <w:tc>
          <w:tcPr>
            <w:tcW w:w="1768" w:type="dxa"/>
            <w:vMerge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0" w:type="dxa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Muitas vezes a medicação não era fornecida pelo SUS ou estava em falta na USF no período pesquisado obrigando o usuário a comprar sua própria medicação e noutras situações os usuários optavam por adquirir a medicação em outra USF ou mesmo a comprar no comércio (</w:t>
            </w:r>
            <w:proofErr w:type="gramStart"/>
            <w:r w:rsidRPr="0047155E">
              <w:rPr>
                <w:rFonts w:ascii="Arial" w:hAnsi="Arial" w:cs="Arial"/>
                <w:sz w:val="20"/>
                <w:szCs w:val="20"/>
              </w:rPr>
              <w:t>11, 19,6</w:t>
            </w:r>
            <w:proofErr w:type="gramEnd"/>
            <w:r w:rsidRPr="0047155E">
              <w:rPr>
                <w:rFonts w:ascii="Arial" w:hAnsi="Arial" w:cs="Arial"/>
                <w:sz w:val="20"/>
                <w:szCs w:val="20"/>
              </w:rPr>
              <w:t xml:space="preserve">%). </w:t>
            </w:r>
          </w:p>
        </w:tc>
      </w:tr>
      <w:tr w:rsidR="00002129" w:rsidRPr="0047155E" w:rsidTr="0045279E">
        <w:trPr>
          <w:jc w:val="center"/>
        </w:trPr>
        <w:tc>
          <w:tcPr>
            <w:tcW w:w="1768" w:type="dxa"/>
            <w:vMerge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0" w:type="dxa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Alguns usuários trabalham durante o horário de atendimento da USF e recebem a medicação em casa levada pela Equipe ou familiares (</w:t>
            </w:r>
            <w:proofErr w:type="gramStart"/>
            <w:r w:rsidRPr="0047155E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47155E">
              <w:rPr>
                <w:rFonts w:ascii="Arial" w:hAnsi="Arial" w:cs="Arial"/>
                <w:sz w:val="20"/>
                <w:szCs w:val="20"/>
              </w:rPr>
              <w:t>, 7,1%)</w:t>
            </w:r>
          </w:p>
        </w:tc>
      </w:tr>
      <w:tr w:rsidR="00002129" w:rsidRPr="0047155E" w:rsidTr="0045279E">
        <w:trPr>
          <w:jc w:val="center"/>
        </w:trPr>
        <w:tc>
          <w:tcPr>
            <w:tcW w:w="1768" w:type="dxa"/>
            <w:vAlign w:val="center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>Absenteísmo “rebelde”</w:t>
            </w:r>
          </w:p>
        </w:tc>
        <w:tc>
          <w:tcPr>
            <w:tcW w:w="6580" w:type="dxa"/>
          </w:tcPr>
          <w:p w:rsidR="00002129" w:rsidRPr="0047155E" w:rsidRDefault="00002129" w:rsidP="0045279E">
            <w:pPr>
              <w:pStyle w:val="PargrafodaLista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55E">
              <w:rPr>
                <w:rFonts w:ascii="Arial" w:hAnsi="Arial" w:cs="Arial"/>
                <w:sz w:val="20"/>
                <w:szCs w:val="20"/>
              </w:rPr>
              <w:t xml:space="preserve">Uma usuária (1,8%) considera que o “padre a curou” e por isso se recusa a se medicar, outros sete usuários (12,5%) “tomam a medicação quanto querem” apesar do empenho dos </w:t>
            </w:r>
            <w:proofErr w:type="gramStart"/>
            <w:r w:rsidRPr="0047155E">
              <w:rPr>
                <w:rFonts w:ascii="Arial" w:hAnsi="Arial" w:cs="Arial"/>
                <w:sz w:val="20"/>
                <w:szCs w:val="20"/>
              </w:rPr>
              <w:t>ACS</w:t>
            </w:r>
            <w:proofErr w:type="gramEnd"/>
          </w:p>
        </w:tc>
      </w:tr>
    </w:tbl>
    <w:p w:rsidR="00002129" w:rsidRPr="0047155E" w:rsidRDefault="00002129" w:rsidP="00002129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203C0" w:rsidRPr="0047155E" w:rsidRDefault="00F47F5E" w:rsidP="00F203C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</w:r>
      <w:r w:rsidR="00C9798A" w:rsidRPr="0047155E">
        <w:rPr>
          <w:rFonts w:ascii="Arial" w:hAnsi="Arial" w:cs="Arial"/>
          <w:sz w:val="20"/>
          <w:szCs w:val="20"/>
        </w:rPr>
        <w:tab/>
      </w:r>
      <w:r w:rsidRPr="0047155E">
        <w:rPr>
          <w:rFonts w:ascii="Arial" w:hAnsi="Arial" w:cs="Arial"/>
          <w:sz w:val="20"/>
          <w:szCs w:val="20"/>
        </w:rPr>
        <w:t xml:space="preserve">A análise conjunta dos prontuários, na entrevista com a Equipe da USF, </w:t>
      </w:r>
      <w:r w:rsidR="001D3462" w:rsidRPr="0047155E">
        <w:rPr>
          <w:rFonts w:ascii="Arial" w:hAnsi="Arial" w:cs="Arial"/>
          <w:sz w:val="20"/>
          <w:szCs w:val="20"/>
        </w:rPr>
        <w:t>constatou o</w:t>
      </w:r>
      <w:r w:rsidRPr="0047155E">
        <w:rPr>
          <w:rFonts w:ascii="Arial" w:hAnsi="Arial" w:cs="Arial"/>
          <w:sz w:val="20"/>
          <w:szCs w:val="20"/>
        </w:rPr>
        <w:t xml:space="preserve"> excelente trabalho desenvolvido na USF Timbó II, uma vez que o </w:t>
      </w:r>
      <w:r w:rsidR="001D3462" w:rsidRPr="0047155E">
        <w:rPr>
          <w:rFonts w:ascii="Arial" w:hAnsi="Arial" w:cs="Arial"/>
          <w:sz w:val="20"/>
          <w:szCs w:val="20"/>
        </w:rPr>
        <w:t xml:space="preserve">pequeno </w:t>
      </w:r>
      <w:r w:rsidRPr="0047155E">
        <w:rPr>
          <w:rFonts w:ascii="Arial" w:hAnsi="Arial" w:cs="Arial"/>
          <w:sz w:val="20"/>
          <w:szCs w:val="20"/>
        </w:rPr>
        <w:t xml:space="preserve">número de usuários ausente ao controle do </w:t>
      </w:r>
      <w:proofErr w:type="spellStart"/>
      <w:proofErr w:type="gramStart"/>
      <w:r w:rsidRPr="0047155E">
        <w:rPr>
          <w:rFonts w:ascii="Arial" w:hAnsi="Arial" w:cs="Arial"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(5, 2,7%) </w:t>
      </w:r>
      <w:r w:rsidR="001D3462" w:rsidRPr="0047155E">
        <w:rPr>
          <w:rFonts w:ascii="Arial" w:hAnsi="Arial" w:cs="Arial"/>
          <w:sz w:val="20"/>
          <w:szCs w:val="20"/>
        </w:rPr>
        <w:t>demonstra</w:t>
      </w:r>
      <w:r w:rsidR="002A1FD3" w:rsidRPr="0047155E">
        <w:rPr>
          <w:rFonts w:ascii="Arial" w:hAnsi="Arial" w:cs="Arial"/>
          <w:sz w:val="20"/>
          <w:szCs w:val="20"/>
        </w:rPr>
        <w:t xml:space="preserve"> uma boa cobertura para a comunidade adstrita. </w:t>
      </w:r>
    </w:p>
    <w:p w:rsidR="002A1FD3" w:rsidRPr="0047155E" w:rsidRDefault="002A1FD3" w:rsidP="00F203C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203C0" w:rsidRPr="0047155E" w:rsidRDefault="00F203C0" w:rsidP="00F203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t>CONCLUSÃO</w:t>
      </w:r>
    </w:p>
    <w:p w:rsidR="00F203C0" w:rsidRPr="0047155E" w:rsidRDefault="00F203C0" w:rsidP="00F203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203C0" w:rsidRPr="0047155E" w:rsidRDefault="00F203C0" w:rsidP="00D329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ab/>
        <w:t xml:space="preserve">Entendendo o </w:t>
      </w:r>
      <w:proofErr w:type="spellStart"/>
      <w:proofErr w:type="gramStart"/>
      <w:r w:rsidRPr="0047155E">
        <w:rPr>
          <w:rFonts w:ascii="Arial" w:hAnsi="Arial" w:cs="Arial"/>
          <w:i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sz w:val="20"/>
          <w:szCs w:val="20"/>
        </w:rPr>
        <w:t xml:space="preserve"> como importante ação para a promoção da saúde na atenção básica e principalmente junto à pessoa idosa, avaliar a extensão da atuação deste programa contribui para a melhoria da atenção básica.</w:t>
      </w:r>
    </w:p>
    <w:p w:rsidR="00F203C0" w:rsidRPr="0047155E" w:rsidRDefault="001D3462" w:rsidP="00D329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Neste sentido</w:t>
      </w:r>
      <w:r w:rsidR="00F203C0" w:rsidRPr="0047155E">
        <w:rPr>
          <w:rFonts w:ascii="Arial" w:hAnsi="Arial" w:cs="Arial"/>
          <w:sz w:val="20"/>
          <w:szCs w:val="20"/>
        </w:rPr>
        <w:t>, a parceria entre extensionistas e Equipe da USF Timbó II, que vem tendo êxito desde 2007, se confirma como um espaço para a reflexão da prática do atual e futuro profissional de saúde.</w:t>
      </w:r>
    </w:p>
    <w:p w:rsidR="00B201E7" w:rsidRPr="0047155E" w:rsidRDefault="00B201E7" w:rsidP="00F203C0">
      <w:pPr>
        <w:pStyle w:val="PargrafodaLista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D6750" w:rsidRPr="0047155E" w:rsidRDefault="002B0747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5E">
        <w:rPr>
          <w:rFonts w:ascii="Arial" w:hAnsi="Arial" w:cs="Arial"/>
          <w:b/>
          <w:sz w:val="20"/>
          <w:szCs w:val="20"/>
        </w:rPr>
        <w:br w:type="column"/>
      </w:r>
      <w:r w:rsidR="00ED6750" w:rsidRPr="0047155E">
        <w:rPr>
          <w:rFonts w:ascii="Arial" w:hAnsi="Arial" w:cs="Arial"/>
          <w:b/>
          <w:sz w:val="20"/>
          <w:szCs w:val="20"/>
        </w:rPr>
        <w:lastRenderedPageBreak/>
        <w:t>REFERÊNCIAS</w:t>
      </w:r>
    </w:p>
    <w:p w:rsidR="00CC6012" w:rsidRPr="0047155E" w:rsidRDefault="00CC6012" w:rsidP="00ED67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AZEVEDO, A.L.M. </w:t>
      </w:r>
      <w:r w:rsidRPr="0047155E">
        <w:rPr>
          <w:rFonts w:ascii="Arial" w:hAnsi="Arial" w:cs="Arial"/>
          <w:b/>
          <w:sz w:val="20"/>
          <w:szCs w:val="20"/>
        </w:rPr>
        <w:t>Acesso à atenção à saúde no SUS: o PSF como (estreita) Porta de Entrada</w:t>
      </w:r>
      <w:r w:rsidRPr="0047155E">
        <w:rPr>
          <w:rFonts w:ascii="Arial" w:hAnsi="Arial" w:cs="Arial"/>
          <w:sz w:val="20"/>
          <w:szCs w:val="20"/>
        </w:rPr>
        <w:t>.</w:t>
      </w:r>
      <w:r w:rsidR="00BA37A6" w:rsidRPr="0047155E">
        <w:rPr>
          <w:rFonts w:ascii="Arial" w:hAnsi="Arial" w:cs="Arial"/>
          <w:sz w:val="20"/>
          <w:szCs w:val="20"/>
        </w:rPr>
        <w:t xml:space="preserve"> </w:t>
      </w:r>
      <w:r w:rsidRPr="0047155E">
        <w:rPr>
          <w:rFonts w:ascii="Arial" w:hAnsi="Arial" w:cs="Arial"/>
          <w:sz w:val="20"/>
          <w:szCs w:val="20"/>
        </w:rPr>
        <w:t>2007.</w:t>
      </w:r>
      <w:r w:rsidR="00BA37A6" w:rsidRPr="0047155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155E">
        <w:rPr>
          <w:rFonts w:ascii="Arial" w:hAnsi="Arial" w:cs="Arial"/>
          <w:sz w:val="20"/>
          <w:szCs w:val="20"/>
        </w:rPr>
        <w:t>Dissertação(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Mestrado em Ciências) Programa de Pós-Graduação do Centro de Pesquisas </w:t>
      </w:r>
      <w:proofErr w:type="spellStart"/>
      <w:r w:rsidRPr="0047155E">
        <w:rPr>
          <w:rFonts w:ascii="Arial" w:hAnsi="Arial" w:cs="Arial"/>
          <w:sz w:val="20"/>
          <w:szCs w:val="20"/>
        </w:rPr>
        <w:t>Aggeu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Magalhães, da Fundação Osvaldo Cruz, Recife. 2007.</w:t>
      </w: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AZEVEDO, L.N, </w:t>
      </w:r>
      <w:proofErr w:type="gramStart"/>
      <w:r w:rsidR="00956E18" w:rsidRPr="0047155E">
        <w:rPr>
          <w:rFonts w:ascii="Arial" w:hAnsi="Arial" w:cs="Arial"/>
          <w:i/>
          <w:sz w:val="20"/>
          <w:szCs w:val="20"/>
        </w:rPr>
        <w:t>et</w:t>
      </w:r>
      <w:proofErr w:type="gramEnd"/>
      <w:r w:rsidR="00956E18" w:rsidRPr="0047155E">
        <w:rPr>
          <w:rFonts w:ascii="Arial" w:hAnsi="Arial" w:cs="Arial"/>
          <w:i/>
          <w:sz w:val="20"/>
          <w:szCs w:val="20"/>
        </w:rPr>
        <w:t xml:space="preserve"> al</w:t>
      </w:r>
      <w:r w:rsidRPr="0047155E">
        <w:rPr>
          <w:rFonts w:ascii="Arial" w:hAnsi="Arial" w:cs="Arial"/>
          <w:sz w:val="20"/>
          <w:szCs w:val="20"/>
        </w:rPr>
        <w:t xml:space="preserve">. Usuários e Equipe Saúde da Família no processo de construção da saúde. </w:t>
      </w:r>
      <w:r w:rsidRPr="0047155E">
        <w:rPr>
          <w:rFonts w:ascii="Arial" w:hAnsi="Arial" w:cs="Arial"/>
          <w:b/>
          <w:sz w:val="20"/>
          <w:szCs w:val="20"/>
        </w:rPr>
        <w:t>Rev. Bras. Ciências Saúde</w:t>
      </w:r>
      <w:r w:rsidRPr="0047155E">
        <w:rPr>
          <w:rFonts w:ascii="Arial" w:hAnsi="Arial" w:cs="Arial"/>
          <w:sz w:val="20"/>
          <w:szCs w:val="20"/>
        </w:rPr>
        <w:t>, vol.15, n.2. 2011.</w:t>
      </w:r>
    </w:p>
    <w:p w:rsidR="00244BB0" w:rsidRPr="0047155E" w:rsidRDefault="00244BB0" w:rsidP="00BA37A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7155E">
        <w:rPr>
          <w:rFonts w:ascii="Arial" w:hAnsi="Arial" w:cs="Arial"/>
          <w:sz w:val="20"/>
          <w:szCs w:val="20"/>
        </w:rPr>
        <w:t xml:space="preserve">BRAGA, E.R. </w:t>
      </w:r>
      <w:r w:rsidRPr="0047155E">
        <w:rPr>
          <w:rFonts w:ascii="Arial" w:hAnsi="Arial" w:cs="Arial"/>
          <w:b/>
          <w:sz w:val="20"/>
          <w:szCs w:val="20"/>
        </w:rPr>
        <w:t xml:space="preserve">Reflexão da ação multiprofissional no </w:t>
      </w:r>
      <w:proofErr w:type="spellStart"/>
      <w:proofErr w:type="gramStart"/>
      <w:r w:rsidR="00956E18" w:rsidRPr="0047155E">
        <w:rPr>
          <w:rFonts w:ascii="Arial" w:hAnsi="Arial" w:cs="Arial"/>
          <w:b/>
          <w:i/>
          <w:sz w:val="20"/>
          <w:szCs w:val="20"/>
        </w:rPr>
        <w:t>HiperDia</w:t>
      </w:r>
      <w:proofErr w:type="spellEnd"/>
      <w:proofErr w:type="gramEnd"/>
      <w:r w:rsidRPr="0047155E">
        <w:rPr>
          <w:rFonts w:ascii="Arial" w:hAnsi="Arial" w:cs="Arial"/>
          <w:b/>
          <w:sz w:val="20"/>
          <w:szCs w:val="20"/>
        </w:rPr>
        <w:t xml:space="preserve">: </w:t>
      </w:r>
      <w:r w:rsidRPr="0047155E">
        <w:rPr>
          <w:rFonts w:ascii="Arial" w:hAnsi="Arial" w:cs="Arial"/>
          <w:b/>
          <w:iCs/>
          <w:sz w:val="20"/>
          <w:szCs w:val="20"/>
        </w:rPr>
        <w:t>Saúde bucal, Hipertensão arterial e Diabetes mellitus</w:t>
      </w:r>
      <w:r w:rsidRPr="0047155E">
        <w:rPr>
          <w:rFonts w:ascii="Arial" w:hAnsi="Arial" w:cs="Arial"/>
          <w:iCs/>
          <w:sz w:val="20"/>
          <w:szCs w:val="20"/>
        </w:rPr>
        <w:t>. Trabalho de conclusão de Curso (Especialização em Programa de Saúde da Família) Universidade Federal do Triângulo Mineiro. Ub</w:t>
      </w:r>
      <w:r w:rsidR="00493C17" w:rsidRPr="0047155E">
        <w:rPr>
          <w:rFonts w:ascii="Arial" w:hAnsi="Arial" w:cs="Arial"/>
          <w:iCs/>
          <w:sz w:val="20"/>
          <w:szCs w:val="20"/>
        </w:rPr>
        <w:t xml:space="preserve">eraba/MG. 2006. Disponível em: </w:t>
      </w:r>
      <w:proofErr w:type="gramStart"/>
      <w:r w:rsidRPr="0047155E">
        <w:rPr>
          <w:rFonts w:ascii="Arial" w:hAnsi="Arial" w:cs="Arial"/>
          <w:iCs/>
          <w:sz w:val="20"/>
          <w:szCs w:val="20"/>
        </w:rPr>
        <w:t>http://bvsms.saude.gov.br/bvs/publicacoes/acao_multiprofissional_</w:t>
      </w:r>
      <w:r w:rsidR="00956E18" w:rsidRPr="0047155E">
        <w:rPr>
          <w:rFonts w:ascii="Arial" w:hAnsi="Arial" w:cs="Arial"/>
          <w:i/>
          <w:iCs/>
          <w:sz w:val="20"/>
          <w:szCs w:val="20"/>
        </w:rPr>
        <w:t>HiperDia</w:t>
      </w:r>
      <w:r w:rsidR="00493C17" w:rsidRPr="0047155E">
        <w:rPr>
          <w:rFonts w:ascii="Arial" w:hAnsi="Arial" w:cs="Arial"/>
          <w:iCs/>
          <w:sz w:val="20"/>
          <w:szCs w:val="20"/>
        </w:rPr>
        <w:t>_eduardo_braga.</w:t>
      </w:r>
      <w:proofErr w:type="gramEnd"/>
      <w:r w:rsidR="00493C17" w:rsidRPr="0047155E">
        <w:rPr>
          <w:rFonts w:ascii="Arial" w:hAnsi="Arial" w:cs="Arial"/>
          <w:iCs/>
          <w:sz w:val="20"/>
          <w:szCs w:val="20"/>
        </w:rPr>
        <w:t>pd</w:t>
      </w:r>
      <w:r w:rsidRPr="0047155E">
        <w:rPr>
          <w:rFonts w:ascii="Arial" w:hAnsi="Arial" w:cs="Arial"/>
          <w:iCs/>
          <w:sz w:val="20"/>
          <w:szCs w:val="20"/>
        </w:rPr>
        <w:t>. Acesso em: 27 ago. 2011.</w:t>
      </w:r>
    </w:p>
    <w:p w:rsidR="00244BB0" w:rsidRPr="0047155E" w:rsidRDefault="00244BB0" w:rsidP="00BA37A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BRASIL. Ministério da Saúde. </w:t>
      </w:r>
      <w:r w:rsidRPr="0047155E">
        <w:rPr>
          <w:rFonts w:ascii="Arial" w:hAnsi="Arial" w:cs="Arial"/>
          <w:b/>
          <w:sz w:val="20"/>
          <w:szCs w:val="20"/>
        </w:rPr>
        <w:t>Envelhecimento e saúde da pessoa idosa</w:t>
      </w:r>
      <w:r w:rsidRPr="0047155E">
        <w:rPr>
          <w:rFonts w:ascii="Arial" w:hAnsi="Arial" w:cs="Arial"/>
          <w:sz w:val="20"/>
          <w:szCs w:val="20"/>
        </w:rPr>
        <w:t>. Secretaria de Atenção à Saúde, Departamento de Atenção Básica - Cadernos de Atenção Básica - n.º 19, Série A. Normas e Manuais Técnicos. Brasília</w:t>
      </w:r>
      <w:r w:rsidR="00F66791" w:rsidRPr="0047155E">
        <w:rPr>
          <w:rFonts w:ascii="Arial" w:hAnsi="Arial" w:cs="Arial"/>
          <w:sz w:val="20"/>
          <w:szCs w:val="20"/>
        </w:rPr>
        <w:t>/</w:t>
      </w:r>
      <w:r w:rsidRPr="0047155E">
        <w:rPr>
          <w:rFonts w:ascii="Arial" w:hAnsi="Arial" w:cs="Arial"/>
          <w:sz w:val="20"/>
          <w:szCs w:val="20"/>
        </w:rPr>
        <w:t>DF. 2006. 192 p.</w:t>
      </w:r>
    </w:p>
    <w:p w:rsidR="00244BB0" w:rsidRPr="0047155E" w:rsidRDefault="00244BB0" w:rsidP="00F667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BRASIL. Ministério da Saúde</w:t>
      </w:r>
      <w:r w:rsidRPr="0047155E">
        <w:rPr>
          <w:rFonts w:ascii="Arial" w:hAnsi="Arial" w:cs="Arial"/>
          <w:b/>
          <w:sz w:val="20"/>
          <w:szCs w:val="20"/>
        </w:rPr>
        <w:t>. Idosos no Brasil: Vivências, desafios e expectativas na 3ª idade</w:t>
      </w:r>
      <w:r w:rsidR="00493C17" w:rsidRPr="0047155E">
        <w:rPr>
          <w:rFonts w:ascii="Arial" w:hAnsi="Arial" w:cs="Arial"/>
          <w:sz w:val="20"/>
          <w:szCs w:val="20"/>
        </w:rPr>
        <w:t xml:space="preserve">. 2007. Disponível em: </w:t>
      </w:r>
      <w:proofErr w:type="gramStart"/>
      <w:r w:rsidRPr="0047155E">
        <w:rPr>
          <w:rFonts w:ascii="Arial" w:hAnsi="Arial" w:cs="Arial"/>
          <w:sz w:val="20"/>
          <w:szCs w:val="20"/>
        </w:rPr>
        <w:t>http://portal.saude.gov.br/portal/saude/visualizar_texto.</w:t>
      </w:r>
      <w:proofErr w:type="gramEnd"/>
      <w:r w:rsidRPr="0047155E">
        <w:rPr>
          <w:rFonts w:ascii="Arial" w:hAnsi="Arial" w:cs="Arial"/>
          <w:sz w:val="20"/>
          <w:szCs w:val="20"/>
        </w:rPr>
        <w:t>cfm?</w:t>
      </w:r>
      <w:proofErr w:type="gramStart"/>
      <w:r w:rsidRPr="0047155E">
        <w:rPr>
          <w:rFonts w:ascii="Arial" w:hAnsi="Arial" w:cs="Arial"/>
          <w:sz w:val="20"/>
          <w:szCs w:val="20"/>
        </w:rPr>
        <w:t>idtxt</w:t>
      </w:r>
      <w:proofErr w:type="gramEnd"/>
      <w:r w:rsidRPr="0047155E">
        <w:rPr>
          <w:rFonts w:ascii="Arial" w:hAnsi="Arial" w:cs="Arial"/>
          <w:sz w:val="20"/>
          <w:szCs w:val="20"/>
        </w:rPr>
        <w:t>=26549&amp;janela=1</w:t>
      </w:r>
      <w:r w:rsidR="00493C17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 Acesso em: 27 ago. 2011.</w:t>
      </w:r>
    </w:p>
    <w:p w:rsidR="00F66791" w:rsidRPr="0047155E" w:rsidRDefault="00F66791" w:rsidP="00F667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BRASIL, Ministério da Saúde. </w:t>
      </w:r>
      <w:r w:rsidRPr="0047155E">
        <w:rPr>
          <w:rFonts w:ascii="Arial" w:hAnsi="Arial" w:cs="Arial"/>
          <w:b/>
          <w:bCs/>
          <w:sz w:val="20"/>
          <w:szCs w:val="20"/>
        </w:rPr>
        <w:t xml:space="preserve">Plano de reorganização da atenção à hipertensão arterial e ao diabetes </w:t>
      </w:r>
      <w:r w:rsidRPr="0047155E">
        <w:rPr>
          <w:rFonts w:ascii="Arial" w:hAnsi="Arial" w:cs="Arial"/>
          <w:b/>
          <w:bCs/>
          <w:i/>
          <w:iCs/>
          <w:sz w:val="20"/>
          <w:szCs w:val="20"/>
        </w:rPr>
        <w:t>mellitus</w:t>
      </w:r>
      <w:r w:rsidRPr="0047155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7155E">
        <w:rPr>
          <w:rFonts w:ascii="Arial" w:hAnsi="Arial" w:cs="Arial"/>
          <w:sz w:val="20"/>
          <w:szCs w:val="20"/>
        </w:rPr>
        <w:t>Departamento de ações Programáticas Estratégicas – Cadernos de Atenção Básica – nº 7, 96p. Brasília. 2001. Disponível em: http://bvsms.saude.gov.br/bvs/publicacoes/cd05_06.pdf. Acesso em 20 set. 2011.</w:t>
      </w:r>
    </w:p>
    <w:p w:rsidR="00244BB0" w:rsidRPr="0047155E" w:rsidRDefault="00244BB0" w:rsidP="00F667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CARVALHO, C.J.A.; ASSUNÇÃO, R.C.; BOCCHI, S.C.M. Percepção dos profissionais que atuam na Estratégia de Saúde da Família quanto à assistência prestada aos idosos: revisão integrativa da literatura. </w:t>
      </w:r>
      <w:proofErr w:type="spellStart"/>
      <w:r w:rsidRPr="0047155E">
        <w:rPr>
          <w:rFonts w:ascii="Arial" w:hAnsi="Arial" w:cs="Arial"/>
          <w:b/>
          <w:sz w:val="20"/>
          <w:szCs w:val="20"/>
        </w:rPr>
        <w:t>Physis</w:t>
      </w:r>
      <w:proofErr w:type="spellEnd"/>
      <w:r w:rsidRPr="0047155E">
        <w:rPr>
          <w:rFonts w:ascii="Arial" w:hAnsi="Arial" w:cs="Arial"/>
          <w:b/>
          <w:sz w:val="20"/>
          <w:szCs w:val="20"/>
        </w:rPr>
        <w:t xml:space="preserve"> 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Saúde Coletiva</w:t>
      </w:r>
      <w:r w:rsidRPr="0047155E">
        <w:rPr>
          <w:rFonts w:ascii="Arial" w:hAnsi="Arial" w:cs="Arial"/>
          <w:sz w:val="20"/>
          <w:szCs w:val="20"/>
        </w:rPr>
        <w:t>, Rio de Janeiro (RJ), vol.20, n.4, p.1307-1324, 2010.</w:t>
      </w:r>
    </w:p>
    <w:p w:rsidR="00244BB0" w:rsidRPr="0047155E" w:rsidRDefault="00244BB0" w:rsidP="00BA37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  <w:lang w:val="it-IT"/>
        </w:rPr>
        <w:t xml:space="preserve">CONTIERO A.P., POZATI M.P.Z., CHARLLOUTS R.I., CARREIRA L., MARCON S.S. </w:t>
      </w:r>
      <w:r w:rsidRPr="0047155E">
        <w:rPr>
          <w:rFonts w:ascii="Arial" w:hAnsi="Arial" w:cs="Arial"/>
          <w:sz w:val="20"/>
          <w:szCs w:val="20"/>
        </w:rPr>
        <w:t xml:space="preserve">Idoso com Hipertensão Arterial: dificuldades de acompanhamento na Estratégia Saúde da Família. </w:t>
      </w:r>
      <w:r w:rsidRPr="0047155E">
        <w:rPr>
          <w:rFonts w:ascii="Arial" w:hAnsi="Arial" w:cs="Arial"/>
          <w:b/>
          <w:sz w:val="20"/>
          <w:szCs w:val="20"/>
        </w:rPr>
        <w:t>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Gaúcha </w:t>
      </w:r>
      <w:proofErr w:type="spellStart"/>
      <w:r w:rsidRPr="0047155E">
        <w:rPr>
          <w:rFonts w:ascii="Arial" w:hAnsi="Arial" w:cs="Arial"/>
          <w:b/>
          <w:sz w:val="20"/>
          <w:szCs w:val="20"/>
        </w:rPr>
        <w:t>Enfem</w:t>
      </w:r>
      <w:proofErr w:type="spellEnd"/>
      <w:proofErr w:type="gramStart"/>
      <w:r w:rsidRPr="0047155E">
        <w:rPr>
          <w:rFonts w:ascii="Arial" w:hAnsi="Arial" w:cs="Arial"/>
          <w:b/>
          <w:sz w:val="20"/>
          <w:szCs w:val="20"/>
        </w:rPr>
        <w:t>.,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Porto Alegre (RS), vol.30, n.1, p.62-70. 2009.</w:t>
      </w:r>
    </w:p>
    <w:p w:rsidR="00244BB0" w:rsidRPr="0047155E" w:rsidRDefault="00244BB0" w:rsidP="00BA37A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COSTA, M.F.B.M.A.; CIOSAK, S.I. Atenção Integral na saúde do idoso no Programa Saúde da Família: visão dos profissionais de saúde. </w:t>
      </w:r>
      <w:r w:rsidRPr="0047155E">
        <w:rPr>
          <w:rFonts w:ascii="Arial" w:hAnsi="Arial" w:cs="Arial"/>
          <w:b/>
          <w:sz w:val="20"/>
          <w:szCs w:val="20"/>
        </w:rPr>
        <w:t>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Esc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7155E">
        <w:rPr>
          <w:rFonts w:ascii="Arial" w:hAnsi="Arial" w:cs="Arial"/>
          <w:b/>
          <w:sz w:val="20"/>
          <w:szCs w:val="20"/>
        </w:rPr>
        <w:t>Enferm</w:t>
      </w:r>
      <w:proofErr w:type="spellEnd"/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47155E">
        <w:rPr>
          <w:rFonts w:ascii="Arial" w:hAnsi="Arial" w:cs="Arial"/>
          <w:b/>
          <w:sz w:val="20"/>
          <w:szCs w:val="20"/>
        </w:rPr>
        <w:t>USP</w:t>
      </w:r>
      <w:r w:rsidRPr="0047155E">
        <w:rPr>
          <w:rFonts w:ascii="Arial" w:hAnsi="Arial" w:cs="Arial"/>
          <w:sz w:val="20"/>
          <w:szCs w:val="20"/>
        </w:rPr>
        <w:t>,</w:t>
      </w:r>
      <w:proofErr w:type="gramEnd"/>
      <w:r w:rsidRPr="0047155E">
        <w:rPr>
          <w:rFonts w:ascii="Arial" w:hAnsi="Arial" w:cs="Arial"/>
          <w:sz w:val="20"/>
          <w:szCs w:val="20"/>
        </w:rPr>
        <w:t>São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Paulo, vol.44, n.2, p.437-44. 2010.</w:t>
      </w:r>
    </w:p>
    <w:p w:rsidR="00BA37A6" w:rsidRPr="0047155E" w:rsidRDefault="00BA37A6" w:rsidP="00BA37A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JOÃO PESSOA. Secretaria de Assistência à Saúde. </w:t>
      </w:r>
      <w:r w:rsidRPr="0047155E">
        <w:rPr>
          <w:rFonts w:ascii="Arial" w:hAnsi="Arial" w:cs="Arial"/>
          <w:b/>
          <w:sz w:val="20"/>
          <w:szCs w:val="20"/>
        </w:rPr>
        <w:t>Consolidado das Famílias Cadastradas em 2011</w:t>
      </w:r>
      <w:r w:rsidRPr="0047155E">
        <w:rPr>
          <w:rFonts w:ascii="Arial" w:hAnsi="Arial" w:cs="Arial"/>
          <w:sz w:val="20"/>
          <w:szCs w:val="20"/>
        </w:rPr>
        <w:t>. Diretoria de Atenção Básica. 2011. Disponível em: http://tabnet.datasus.gov.br/cgi/deftohtm.exe?</w:t>
      </w:r>
      <w:proofErr w:type="gramStart"/>
      <w:r w:rsidRPr="0047155E">
        <w:rPr>
          <w:rFonts w:ascii="Arial" w:hAnsi="Arial" w:cs="Arial"/>
          <w:sz w:val="20"/>
          <w:szCs w:val="20"/>
        </w:rPr>
        <w:t>siab</w:t>
      </w:r>
      <w:proofErr w:type="gramEnd"/>
      <w:r w:rsidRPr="0047155E">
        <w:rPr>
          <w:rFonts w:ascii="Arial" w:hAnsi="Arial" w:cs="Arial"/>
          <w:sz w:val="20"/>
          <w:szCs w:val="20"/>
        </w:rPr>
        <w:t>/cnv/siabfPB.def. Acesso em: 24 mar. 2011.</w:t>
      </w: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MINAS GERAIS. Secretaria de Estado de Saúde. </w:t>
      </w:r>
      <w:r w:rsidRPr="0047155E">
        <w:rPr>
          <w:rFonts w:ascii="Arial" w:hAnsi="Arial" w:cs="Arial"/>
          <w:b/>
          <w:sz w:val="20"/>
          <w:szCs w:val="20"/>
        </w:rPr>
        <w:t>Atenção à saúde do idoso</w:t>
      </w:r>
      <w:r w:rsidRPr="0047155E">
        <w:rPr>
          <w:rFonts w:ascii="Arial" w:hAnsi="Arial" w:cs="Arial"/>
          <w:sz w:val="20"/>
          <w:szCs w:val="20"/>
        </w:rPr>
        <w:t>. Belo Horizonte: SAS/MG, 2006. 186 p.</w:t>
      </w:r>
    </w:p>
    <w:p w:rsidR="00244BB0" w:rsidRPr="0047155E" w:rsidRDefault="00244BB0" w:rsidP="00BA37A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lastRenderedPageBreak/>
        <w:t xml:space="preserve">MOTTA, LB; AGUIAR, AC; CALDAS, CP. </w:t>
      </w:r>
      <w:r w:rsidRPr="0047155E">
        <w:rPr>
          <w:rFonts w:ascii="Arial" w:hAnsi="Arial" w:cs="Arial"/>
          <w:bCs/>
          <w:sz w:val="20"/>
          <w:szCs w:val="20"/>
        </w:rPr>
        <w:t>Estratégia Saúde da Família e a atenção ao idoso</w:t>
      </w:r>
      <w:r w:rsidRPr="0047155E">
        <w:rPr>
          <w:rFonts w:ascii="Arial" w:hAnsi="Arial" w:cs="Arial"/>
          <w:sz w:val="20"/>
          <w:szCs w:val="20"/>
        </w:rPr>
        <w:t xml:space="preserve">: </w:t>
      </w:r>
      <w:r w:rsidRPr="0047155E">
        <w:rPr>
          <w:rFonts w:ascii="Arial" w:hAnsi="Arial" w:cs="Arial"/>
          <w:bCs/>
          <w:sz w:val="20"/>
          <w:szCs w:val="20"/>
        </w:rPr>
        <w:t>experiências em três municípios brasileiros</w:t>
      </w:r>
      <w:r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iCs/>
          <w:sz w:val="20"/>
          <w:szCs w:val="20"/>
        </w:rPr>
        <w:t xml:space="preserve"> </w:t>
      </w:r>
      <w:r w:rsidRPr="0047155E">
        <w:rPr>
          <w:rFonts w:ascii="Arial" w:hAnsi="Arial" w:cs="Arial"/>
          <w:b/>
          <w:iCs/>
          <w:sz w:val="20"/>
          <w:szCs w:val="20"/>
        </w:rPr>
        <w:t>Cad. Saúde Pública</w:t>
      </w:r>
      <w:r w:rsidRPr="0047155E">
        <w:rPr>
          <w:rFonts w:ascii="Arial" w:hAnsi="Arial" w:cs="Arial"/>
          <w:sz w:val="20"/>
          <w:szCs w:val="20"/>
        </w:rPr>
        <w:t xml:space="preserve"> [online], vol.27, n.4, p.779-786. 2011.</w:t>
      </w:r>
    </w:p>
    <w:p w:rsidR="00244BB0" w:rsidRPr="0047155E" w:rsidRDefault="00244BB0" w:rsidP="00BA37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PACHECO, R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O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SANTOS, S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S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C. Avaliação global de idosos em unidades de PSF. </w:t>
      </w:r>
      <w:r w:rsidRPr="0047155E">
        <w:rPr>
          <w:rFonts w:ascii="Arial" w:hAnsi="Arial" w:cs="Arial"/>
          <w:b/>
          <w:sz w:val="20"/>
          <w:szCs w:val="20"/>
        </w:rPr>
        <w:t xml:space="preserve">Textos sobre Envelhecimento, </w:t>
      </w:r>
      <w:r w:rsidRPr="0047155E">
        <w:rPr>
          <w:rFonts w:ascii="Arial" w:hAnsi="Arial" w:cs="Arial"/>
          <w:sz w:val="20"/>
          <w:szCs w:val="20"/>
        </w:rPr>
        <w:t>Rio de Janeiro, vol.7, n.2. 2004.</w:t>
      </w:r>
    </w:p>
    <w:p w:rsidR="00244BB0" w:rsidRPr="0047155E" w:rsidRDefault="00244BB0" w:rsidP="00BA37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PEREIRA, R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J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COTTA, R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M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M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FRANCESCHINI, S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C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C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RIBEIRO, R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C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L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TINOCO, A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L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A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ROSADO, L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E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F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P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L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CAMPOS, M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T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F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S. Análise do perfil </w:t>
      </w:r>
      <w:proofErr w:type="spellStart"/>
      <w:r w:rsidRPr="0047155E">
        <w:rPr>
          <w:rFonts w:ascii="Arial" w:hAnsi="Arial" w:cs="Arial"/>
          <w:sz w:val="20"/>
          <w:szCs w:val="20"/>
        </w:rPr>
        <w:t>sociossanitário</w:t>
      </w:r>
      <w:proofErr w:type="spellEnd"/>
      <w:r w:rsidRPr="0047155E">
        <w:rPr>
          <w:rFonts w:ascii="Arial" w:hAnsi="Arial" w:cs="Arial"/>
          <w:sz w:val="20"/>
          <w:szCs w:val="20"/>
        </w:rPr>
        <w:t xml:space="preserve"> de idosos: a importância do Programa de Saúde da Família. </w:t>
      </w:r>
      <w:r w:rsidRPr="0047155E">
        <w:rPr>
          <w:rFonts w:ascii="Arial" w:hAnsi="Arial" w:cs="Arial"/>
          <w:b/>
          <w:sz w:val="20"/>
          <w:szCs w:val="20"/>
        </w:rPr>
        <w:t>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Med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Minas Gerais</w:t>
      </w:r>
      <w:r w:rsidRPr="0047155E">
        <w:rPr>
          <w:rFonts w:ascii="Arial" w:hAnsi="Arial" w:cs="Arial"/>
          <w:sz w:val="20"/>
          <w:szCs w:val="20"/>
        </w:rPr>
        <w:t>; vol.20, n.1, p.5-15. 2010.</w:t>
      </w: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PICCINI, R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X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FACCHINI, L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A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TOMASI, E</w:t>
      </w:r>
      <w:proofErr w:type="gramStart"/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</w:t>
      </w:r>
      <w:proofErr w:type="gramEnd"/>
      <w:r w:rsidRPr="0047155E">
        <w:rPr>
          <w:rFonts w:ascii="Arial" w:hAnsi="Arial" w:cs="Arial"/>
          <w:sz w:val="20"/>
          <w:szCs w:val="20"/>
        </w:rPr>
        <w:t xml:space="preserve"> THUMÉ, E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SILVEIRA, D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S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SIQUEIRA, F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V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RODRIGUES, M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A. Necessidades de saúde comuns aos idosos: efetividade na oferta e utilização em atenção básica. </w:t>
      </w:r>
      <w:r w:rsidRPr="0047155E">
        <w:rPr>
          <w:rFonts w:ascii="Arial" w:hAnsi="Arial" w:cs="Arial"/>
          <w:b/>
          <w:sz w:val="20"/>
          <w:szCs w:val="20"/>
        </w:rPr>
        <w:t>Ciência e Saúde Coletiva</w:t>
      </w:r>
      <w:r w:rsidRPr="0047155E">
        <w:rPr>
          <w:rFonts w:ascii="Arial" w:hAnsi="Arial" w:cs="Arial"/>
          <w:sz w:val="20"/>
          <w:szCs w:val="20"/>
        </w:rPr>
        <w:t>, vol.11, n.9, p.657-667. 2006.</w:t>
      </w:r>
    </w:p>
    <w:p w:rsidR="00244BB0" w:rsidRPr="0047155E" w:rsidRDefault="00244BB0" w:rsidP="00BA37A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7155E">
        <w:rPr>
          <w:rFonts w:ascii="Arial" w:eastAsia="Times New Roman" w:hAnsi="Arial" w:cs="Arial"/>
          <w:sz w:val="20"/>
          <w:szCs w:val="20"/>
          <w:lang w:eastAsia="pt-BR"/>
        </w:rPr>
        <w:t xml:space="preserve">ROCHA, A. </w:t>
      </w:r>
      <w:r w:rsidRPr="0047155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 importância do </w:t>
      </w:r>
      <w:r w:rsidR="00956E18" w:rsidRPr="0047155E">
        <w:rPr>
          <w:rFonts w:ascii="Arial" w:eastAsia="Times New Roman" w:hAnsi="Arial" w:cs="Arial"/>
          <w:b/>
          <w:i/>
          <w:sz w:val="20"/>
          <w:szCs w:val="20"/>
          <w:lang w:eastAsia="pt-BR"/>
        </w:rPr>
        <w:t>HIPERDIA</w:t>
      </w:r>
      <w:r w:rsidRPr="0047155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na redução dos agravos em pacientes cadastrados no PSF IV, do município de Barreiras-BA, e a significância do profissional de enfermagem neste programa</w:t>
      </w:r>
      <w:r w:rsidRPr="0047155E">
        <w:rPr>
          <w:rFonts w:ascii="Arial" w:eastAsia="Times New Roman" w:hAnsi="Arial" w:cs="Arial"/>
          <w:sz w:val="20"/>
          <w:szCs w:val="20"/>
          <w:lang w:eastAsia="pt-BR"/>
        </w:rPr>
        <w:t xml:space="preserve">. 2010. Disponível em: </w:t>
      </w:r>
      <w:hyperlink r:id="rId13" w:history="1">
        <w:r w:rsidRPr="0047155E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  <w:lang w:eastAsia="pt-BR"/>
          </w:rPr>
          <w:t>http://www.webartigos.com/articles/30969/1/A-IMPORTANCIA-DO-</w:t>
        </w:r>
        <w:r w:rsidR="00956E18" w:rsidRPr="0047155E">
          <w:rPr>
            <w:rStyle w:val="Hyperlink"/>
            <w:rFonts w:ascii="Arial" w:eastAsia="Times New Roman" w:hAnsi="Arial" w:cs="Arial"/>
            <w:i/>
            <w:color w:val="auto"/>
            <w:sz w:val="20"/>
            <w:szCs w:val="20"/>
            <w:u w:val="none"/>
            <w:lang w:eastAsia="pt-BR"/>
          </w:rPr>
          <w:t>HIPERDIA</w:t>
        </w:r>
        <w:r w:rsidRPr="0047155E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  <w:lang w:eastAsia="pt-BR"/>
          </w:rPr>
          <w:t>-NA-REDUCAO-DOS-AGRAVOS-EM-PACIENTES-CADASTRADOS-NO-PSF-IV/pagina1.html</w:t>
        </w:r>
      </w:hyperlink>
      <w:r w:rsidRPr="0047155E">
        <w:rPr>
          <w:rFonts w:ascii="Arial" w:eastAsia="Times New Roman" w:hAnsi="Arial" w:cs="Arial"/>
          <w:sz w:val="20"/>
          <w:szCs w:val="20"/>
          <w:lang w:eastAsia="pt-BR"/>
        </w:rPr>
        <w:t>. Acesso em: 27 ago. 2011.</w:t>
      </w:r>
    </w:p>
    <w:p w:rsidR="00244BB0" w:rsidRPr="0047155E" w:rsidRDefault="00244BB0" w:rsidP="00BA37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bCs/>
          <w:sz w:val="20"/>
          <w:szCs w:val="20"/>
        </w:rPr>
        <w:t>RODRIGUES, M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A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P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FACCHINI, L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A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PICCINI, R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X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TOMÁS, E</w:t>
      </w:r>
      <w:proofErr w:type="gramStart"/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</w:t>
      </w:r>
      <w:proofErr w:type="gramEnd"/>
      <w:r w:rsidRPr="0047155E">
        <w:rPr>
          <w:rFonts w:ascii="Arial" w:hAnsi="Arial" w:cs="Arial"/>
          <w:bCs/>
          <w:sz w:val="20"/>
          <w:szCs w:val="20"/>
        </w:rPr>
        <w:t xml:space="preserve"> THUMÉ, E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SILVEIRA, D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S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SIQUEIRA, F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V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; PANIZ, V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M</w:t>
      </w:r>
      <w:r w:rsidR="00BA37A6" w:rsidRPr="0047155E">
        <w:rPr>
          <w:rFonts w:ascii="Arial" w:hAnsi="Arial" w:cs="Arial"/>
          <w:bCs/>
          <w:sz w:val="20"/>
          <w:szCs w:val="20"/>
        </w:rPr>
        <w:t>.</w:t>
      </w:r>
      <w:r w:rsidRPr="0047155E">
        <w:rPr>
          <w:rFonts w:ascii="Arial" w:hAnsi="Arial" w:cs="Arial"/>
          <w:bCs/>
          <w:sz w:val="20"/>
          <w:szCs w:val="20"/>
        </w:rPr>
        <w:t>V.</w:t>
      </w:r>
      <w:r w:rsidRPr="0047155E">
        <w:rPr>
          <w:rFonts w:ascii="Arial" w:hAnsi="Arial" w:cs="Arial"/>
          <w:sz w:val="20"/>
          <w:szCs w:val="20"/>
        </w:rPr>
        <w:t xml:space="preserve"> Uso de serviços básicos de saúde por idosos portadores de condições crônicas, Brasil. </w:t>
      </w:r>
      <w:r w:rsidRPr="0047155E">
        <w:rPr>
          <w:rFonts w:ascii="Arial" w:hAnsi="Arial" w:cs="Arial"/>
          <w:b/>
          <w:sz w:val="20"/>
          <w:szCs w:val="20"/>
        </w:rPr>
        <w:t>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Saúde Pública</w:t>
      </w:r>
      <w:r w:rsidRPr="0047155E">
        <w:rPr>
          <w:rFonts w:ascii="Arial" w:hAnsi="Arial" w:cs="Arial"/>
          <w:sz w:val="20"/>
          <w:szCs w:val="20"/>
        </w:rPr>
        <w:t>; vol.43, n.4, p.604-12. 2009.</w:t>
      </w: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SILVESTRE, J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A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>; COSTA NETO, M</w:t>
      </w:r>
      <w:r w:rsidR="00BA37A6" w:rsidRPr="0047155E">
        <w:rPr>
          <w:rFonts w:ascii="Arial" w:hAnsi="Arial" w:cs="Arial"/>
          <w:sz w:val="20"/>
          <w:szCs w:val="20"/>
        </w:rPr>
        <w:t>.</w:t>
      </w:r>
      <w:r w:rsidRPr="0047155E">
        <w:rPr>
          <w:rFonts w:ascii="Arial" w:hAnsi="Arial" w:cs="Arial"/>
          <w:sz w:val="20"/>
          <w:szCs w:val="20"/>
        </w:rPr>
        <w:t xml:space="preserve">N. Abordagem do idoso e programas de saúde da família. </w:t>
      </w:r>
      <w:r w:rsidRPr="0047155E">
        <w:rPr>
          <w:rFonts w:ascii="Arial" w:hAnsi="Arial" w:cs="Arial"/>
          <w:b/>
          <w:sz w:val="20"/>
          <w:szCs w:val="20"/>
        </w:rPr>
        <w:t>Cad. Saúde Pública</w:t>
      </w:r>
      <w:r w:rsidRPr="0047155E">
        <w:rPr>
          <w:rFonts w:ascii="Arial" w:hAnsi="Arial" w:cs="Arial"/>
          <w:sz w:val="20"/>
          <w:szCs w:val="20"/>
        </w:rPr>
        <w:t>, Rio de Janeiro, vol.19, n.3, p.839-847, 2003.</w:t>
      </w:r>
    </w:p>
    <w:p w:rsidR="00244BB0" w:rsidRPr="0047155E" w:rsidRDefault="00244BB0" w:rsidP="00BA37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>VERAS, R. Em busca de uma assistência adequada à saúde do idoso: revisão da literatura e aplicação de um instrumento de detecção precoce e de previsibilidade de agravos.</w:t>
      </w:r>
      <w:r w:rsidRPr="0047155E">
        <w:rPr>
          <w:rFonts w:ascii="Arial" w:hAnsi="Arial" w:cs="Arial"/>
          <w:b/>
          <w:sz w:val="20"/>
          <w:szCs w:val="20"/>
        </w:rPr>
        <w:t xml:space="preserve"> Cad. Saúde Pública</w:t>
      </w:r>
      <w:r w:rsidRPr="0047155E">
        <w:rPr>
          <w:rFonts w:ascii="Arial" w:hAnsi="Arial" w:cs="Arial"/>
          <w:sz w:val="20"/>
          <w:szCs w:val="20"/>
        </w:rPr>
        <w:t>, Rio de Janeiro, vol.19, n.3, p.705-715. 2003.</w:t>
      </w:r>
    </w:p>
    <w:p w:rsidR="00ED6750" w:rsidRPr="0047155E" w:rsidRDefault="00244BB0" w:rsidP="00C96A5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7155E">
        <w:rPr>
          <w:rFonts w:ascii="Arial" w:hAnsi="Arial" w:cs="Arial"/>
          <w:sz w:val="20"/>
          <w:szCs w:val="20"/>
        </w:rPr>
        <w:t xml:space="preserve">VERAS, R. Envelhecimento populacional contemporâneo: demandas, desafios e inovações. </w:t>
      </w:r>
      <w:r w:rsidRPr="0047155E">
        <w:rPr>
          <w:rFonts w:ascii="Arial" w:hAnsi="Arial" w:cs="Arial"/>
          <w:b/>
          <w:sz w:val="20"/>
          <w:szCs w:val="20"/>
        </w:rPr>
        <w:t>Rev</w:t>
      </w:r>
      <w:r w:rsidR="0054686D" w:rsidRPr="0047155E">
        <w:rPr>
          <w:rFonts w:ascii="Arial" w:hAnsi="Arial" w:cs="Arial"/>
          <w:b/>
          <w:sz w:val="20"/>
          <w:szCs w:val="20"/>
        </w:rPr>
        <w:t>.</w:t>
      </w:r>
      <w:r w:rsidRPr="0047155E">
        <w:rPr>
          <w:rFonts w:ascii="Arial" w:hAnsi="Arial" w:cs="Arial"/>
          <w:b/>
          <w:sz w:val="20"/>
          <w:szCs w:val="20"/>
        </w:rPr>
        <w:t xml:space="preserve"> Saúde Pública</w:t>
      </w:r>
      <w:r w:rsidRPr="0047155E">
        <w:rPr>
          <w:rFonts w:ascii="Arial" w:hAnsi="Arial" w:cs="Arial"/>
          <w:sz w:val="20"/>
          <w:szCs w:val="20"/>
        </w:rPr>
        <w:t>, vol.13, n.3, p.548-54, 2009.</w:t>
      </w:r>
    </w:p>
    <w:sectPr w:rsidR="00ED6750" w:rsidRPr="0047155E" w:rsidSect="00182B04">
      <w:footerReference w:type="default" r:id="rId14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CE" w:rsidRDefault="00C00DCE" w:rsidP="00ED6750">
      <w:pPr>
        <w:spacing w:after="0" w:line="240" w:lineRule="auto"/>
      </w:pPr>
      <w:r>
        <w:separator/>
      </w:r>
    </w:p>
  </w:endnote>
  <w:endnote w:type="continuationSeparator" w:id="0">
    <w:p w:rsidR="00C00DCE" w:rsidRDefault="00C00DCE" w:rsidP="00ED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4919"/>
      <w:docPartObj>
        <w:docPartGallery w:val="Page Numbers (Bottom of Page)"/>
        <w:docPartUnique/>
      </w:docPartObj>
    </w:sdtPr>
    <w:sdtEndPr/>
    <w:sdtContent>
      <w:p w:rsidR="002A1FD3" w:rsidRDefault="002A1F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5E">
          <w:rPr>
            <w:noProof/>
          </w:rPr>
          <w:t>1</w:t>
        </w:r>
        <w:r>
          <w:fldChar w:fldCharType="end"/>
        </w:r>
      </w:p>
    </w:sdtContent>
  </w:sdt>
  <w:p w:rsidR="002A1FD3" w:rsidRDefault="002A1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CE" w:rsidRDefault="00C00DCE" w:rsidP="00ED6750">
      <w:pPr>
        <w:spacing w:after="0" w:line="240" w:lineRule="auto"/>
      </w:pPr>
      <w:r>
        <w:separator/>
      </w:r>
    </w:p>
  </w:footnote>
  <w:footnote w:type="continuationSeparator" w:id="0">
    <w:p w:rsidR="00C00DCE" w:rsidRDefault="00C00DCE" w:rsidP="00ED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893"/>
    <w:multiLevelType w:val="hybridMultilevel"/>
    <w:tmpl w:val="6AE8D7FC"/>
    <w:lvl w:ilvl="0" w:tplc="C478D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D15F2"/>
    <w:multiLevelType w:val="hybridMultilevel"/>
    <w:tmpl w:val="12C6ABE2"/>
    <w:lvl w:ilvl="0" w:tplc="9926DD8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262CB"/>
    <w:multiLevelType w:val="hybridMultilevel"/>
    <w:tmpl w:val="6504B424"/>
    <w:lvl w:ilvl="0" w:tplc="5C7C9616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C0"/>
    <w:rsid w:val="00002129"/>
    <w:rsid w:val="00073C9F"/>
    <w:rsid w:val="00077781"/>
    <w:rsid w:val="000A45A8"/>
    <w:rsid w:val="000C6D7A"/>
    <w:rsid w:val="00122CD4"/>
    <w:rsid w:val="001332D6"/>
    <w:rsid w:val="00135BF0"/>
    <w:rsid w:val="00166043"/>
    <w:rsid w:val="00180A20"/>
    <w:rsid w:val="00182B04"/>
    <w:rsid w:val="00192400"/>
    <w:rsid w:val="001D296C"/>
    <w:rsid w:val="001D3462"/>
    <w:rsid w:val="001E7DAD"/>
    <w:rsid w:val="002264DB"/>
    <w:rsid w:val="00244BB0"/>
    <w:rsid w:val="002A1FD3"/>
    <w:rsid w:val="002B0747"/>
    <w:rsid w:val="002E5CCE"/>
    <w:rsid w:val="00317ABB"/>
    <w:rsid w:val="00323814"/>
    <w:rsid w:val="003C2A14"/>
    <w:rsid w:val="003D05E6"/>
    <w:rsid w:val="00405B00"/>
    <w:rsid w:val="00417889"/>
    <w:rsid w:val="0045279E"/>
    <w:rsid w:val="0047155E"/>
    <w:rsid w:val="00493C17"/>
    <w:rsid w:val="00532D64"/>
    <w:rsid w:val="0054686D"/>
    <w:rsid w:val="005C78FE"/>
    <w:rsid w:val="005E5F7A"/>
    <w:rsid w:val="006134F4"/>
    <w:rsid w:val="0068393F"/>
    <w:rsid w:val="006F7DE4"/>
    <w:rsid w:val="007226CA"/>
    <w:rsid w:val="0076032E"/>
    <w:rsid w:val="00772CE7"/>
    <w:rsid w:val="00784EEF"/>
    <w:rsid w:val="0087312E"/>
    <w:rsid w:val="009261CB"/>
    <w:rsid w:val="00956E18"/>
    <w:rsid w:val="009E54F2"/>
    <w:rsid w:val="009F0B79"/>
    <w:rsid w:val="00A1198B"/>
    <w:rsid w:val="00A453B9"/>
    <w:rsid w:val="00A61DA4"/>
    <w:rsid w:val="00AD194E"/>
    <w:rsid w:val="00AF00D9"/>
    <w:rsid w:val="00B201E7"/>
    <w:rsid w:val="00B209C0"/>
    <w:rsid w:val="00B731C1"/>
    <w:rsid w:val="00BA37A6"/>
    <w:rsid w:val="00BD60D3"/>
    <w:rsid w:val="00C00DCE"/>
    <w:rsid w:val="00C40EE7"/>
    <w:rsid w:val="00C632E0"/>
    <w:rsid w:val="00C96A5E"/>
    <w:rsid w:val="00C9798A"/>
    <w:rsid w:val="00CC6012"/>
    <w:rsid w:val="00D12BC9"/>
    <w:rsid w:val="00D329B2"/>
    <w:rsid w:val="00D67FBA"/>
    <w:rsid w:val="00DB7176"/>
    <w:rsid w:val="00DE24E1"/>
    <w:rsid w:val="00DF372C"/>
    <w:rsid w:val="00E00FA5"/>
    <w:rsid w:val="00E6205E"/>
    <w:rsid w:val="00E8534B"/>
    <w:rsid w:val="00EC4213"/>
    <w:rsid w:val="00EC6A06"/>
    <w:rsid w:val="00ED6750"/>
    <w:rsid w:val="00F011DA"/>
    <w:rsid w:val="00F203C0"/>
    <w:rsid w:val="00F22579"/>
    <w:rsid w:val="00F47F5E"/>
    <w:rsid w:val="00F66791"/>
    <w:rsid w:val="00FA2B22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750"/>
  </w:style>
  <w:style w:type="paragraph" w:styleId="Rodap">
    <w:name w:val="footer"/>
    <w:basedOn w:val="Normal"/>
    <w:link w:val="RodapChar"/>
    <w:uiPriority w:val="99"/>
    <w:unhideWhenUsed/>
    <w:rsid w:val="00ED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750"/>
  </w:style>
  <w:style w:type="paragraph" w:styleId="NormalWeb">
    <w:name w:val="Normal (Web)"/>
    <w:basedOn w:val="Normal"/>
    <w:uiPriority w:val="99"/>
    <w:semiHidden/>
    <w:unhideWhenUsed/>
    <w:rsid w:val="00CC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0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1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32D6"/>
    <w:pPr>
      <w:ind w:left="720"/>
      <w:contextualSpacing/>
    </w:pPr>
  </w:style>
  <w:style w:type="table" w:styleId="Tabelacomgrade">
    <w:name w:val="Table Grid"/>
    <w:basedOn w:val="Tabelanormal"/>
    <w:uiPriority w:val="59"/>
    <w:rsid w:val="0013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0F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750"/>
  </w:style>
  <w:style w:type="paragraph" w:styleId="Rodap">
    <w:name w:val="footer"/>
    <w:basedOn w:val="Normal"/>
    <w:link w:val="RodapChar"/>
    <w:uiPriority w:val="99"/>
    <w:unhideWhenUsed/>
    <w:rsid w:val="00ED6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750"/>
  </w:style>
  <w:style w:type="paragraph" w:styleId="NormalWeb">
    <w:name w:val="Normal (Web)"/>
    <w:basedOn w:val="Normal"/>
    <w:uiPriority w:val="99"/>
    <w:semiHidden/>
    <w:unhideWhenUsed/>
    <w:rsid w:val="00CC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0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1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32D6"/>
    <w:pPr>
      <w:ind w:left="720"/>
      <w:contextualSpacing/>
    </w:pPr>
  </w:style>
  <w:style w:type="table" w:styleId="Tabelacomgrade">
    <w:name w:val="Table Grid"/>
    <w:basedOn w:val="Tabelanormal"/>
    <w:uiPriority w:val="59"/>
    <w:rsid w:val="0013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0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artigos.com/articles/30969/1/A-IMPORTANCIA-DO-HIPERDIA-NA-REDUCAO-DOS-AGRAVOS-EM-PACIENTES-CADASTRADOS-NO-PSF-IV/pagina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ristine%20Hirsch\Documents\Extens&#227;o\Timb&#243;\ENEX%202011\Gr&#225;ficos%20%20idosos%20Timb&#243;%202011-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ristine%20Hirsch\Documents\Extens&#227;o\Timb&#243;\ENEX%202011\Gr&#225;ficos%20%20idosos%20Timb&#243;%202011-20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ristine%20Hirsch\Documents\Extens&#227;o\Timb&#243;\ENEX%202011\Gr&#225;ficos%20%20idosos%20Timb&#243;%202011-20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352760425756058E-2"/>
          <c:y val="0.1026944122206367"/>
          <c:w val="0.94326252891702977"/>
          <c:h val="0.8082203440114011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E4E4FC"/>
              </a:solidFill>
            </c:spPr>
          </c:dPt>
          <c:dPt>
            <c:idx val="1"/>
            <c:bubble3D val="0"/>
            <c:spPr>
              <a:solidFill>
                <a:srgbClr val="A5C4E9"/>
              </a:solidFill>
            </c:spPr>
          </c:dPt>
          <c:dPt>
            <c:idx val="2"/>
            <c:bubble3D val="0"/>
            <c:spPr>
              <a:solidFill>
                <a:srgbClr val="60B5CC"/>
              </a:solidFill>
            </c:spPr>
          </c:dPt>
          <c:dPt>
            <c:idx val="3"/>
            <c:bubble3D val="0"/>
            <c:spPr>
              <a:solidFill>
                <a:srgbClr val="3DA5C1"/>
              </a:solidFill>
            </c:spPr>
          </c:dPt>
          <c:dPt>
            <c:idx val="4"/>
            <c:bubble3D val="0"/>
            <c:spPr>
              <a:solidFill>
                <a:srgbClr val="3D7FCF"/>
              </a:solidFill>
            </c:spPr>
          </c:dPt>
          <c:dPt>
            <c:idx val="5"/>
            <c:bubble3D val="0"/>
            <c:spPr>
              <a:solidFill>
                <a:srgbClr val="285EA0"/>
              </a:solidFill>
            </c:spPr>
          </c:dPt>
          <c:dPt>
            <c:idx val="6"/>
            <c:bubble3D val="0"/>
            <c:spPr>
              <a:solidFill>
                <a:srgbClr val="FF0000"/>
              </a:solidFill>
            </c:spPr>
          </c:dPt>
          <c:dPt>
            <c:idx val="7"/>
            <c:bubble3D val="0"/>
            <c:spPr>
              <a:solidFill>
                <a:srgbClr val="163356"/>
              </a:solidFill>
            </c:spPr>
          </c:dPt>
          <c:dPt>
            <c:idx val="8"/>
            <c:bubble3D val="0"/>
            <c:spPr>
              <a:solidFill>
                <a:srgbClr val="233C5B"/>
              </a:solidFill>
            </c:spPr>
          </c:dPt>
          <c:dPt>
            <c:idx val="9"/>
            <c:bubble3D val="0"/>
            <c:spPr>
              <a:solidFill>
                <a:srgbClr val="1B2E45"/>
              </a:solidFill>
            </c:spPr>
          </c:dPt>
          <c:dPt>
            <c:idx val="10"/>
            <c:bubble3D val="0"/>
            <c:spPr>
              <a:solidFill>
                <a:srgbClr val="0C1D32"/>
              </a:solidFill>
            </c:spPr>
          </c:dPt>
          <c:dPt>
            <c:idx val="11"/>
            <c:bubble3D val="0"/>
            <c:spPr>
              <a:solidFill>
                <a:srgbClr val="02060A"/>
              </a:solidFill>
            </c:spPr>
          </c:dPt>
          <c:dLbls>
            <c:dLbl>
              <c:idx val="1"/>
              <c:layout>
                <c:manualLayout>
                  <c:x val="-7.8122507413845993E-2"/>
                  <c:y val="7.2227350891483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9890581859085796E-2"/>
                  <c:y val="-0.128137206987057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084365753837576E-2"/>
                  <c:y val="-0.1119884868782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280319952964671E-2"/>
                  <c:y val="-6.456752792112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3.7015870279302789E-2"/>
                  <c:y val="-2.5512738146482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elete val="1"/>
            </c:dLbl>
            <c:dLbl>
              <c:idx val="9"/>
              <c:layout>
                <c:manualLayout>
                  <c:x val="1.9473770150745688E-2"/>
                  <c:y val="8.59795164746664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379372106383698E-2"/>
                  <c:y val="-7.6706108145622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299894201144264E-2"/>
                  <c:y val="-3.8388387276239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solidFill>
                      <a:sysClr val="windowText" lastClr="000000"/>
                    </a:solidFill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Plan2!$B$1:$M$1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Plan2!$B$11:$M$11</c:f>
              <c:numCache>
                <c:formatCode>General</c:formatCode>
                <c:ptCount val="12"/>
                <c:pt idx="0">
                  <c:v>33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egendEntry>
        <c:idx val="6"/>
        <c:delete val="1"/>
      </c:legendEntry>
      <c:legendEntry>
        <c:idx val="8"/>
        <c:delete val="1"/>
      </c:legendEntry>
      <c:layout>
        <c:manualLayout>
          <c:xMode val="edge"/>
          <c:yMode val="edge"/>
          <c:x val="1.509128429049294E-2"/>
          <c:y val="2.1753582719093022E-2"/>
          <c:w val="0.96725803425809798"/>
          <c:h val="0.11146314292133465"/>
        </c:manualLayout>
      </c:layout>
      <c:overlay val="0"/>
      <c:txPr>
        <a:bodyPr/>
        <a:lstStyle/>
        <a:p>
          <a:pPr>
            <a:defRPr sz="16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080704032906286E-2"/>
          <c:y val="0.2142902703519792"/>
          <c:w val="0.98016925569395419"/>
          <c:h val="0.75568057207216266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3D7FCF"/>
              </a:solidFill>
            </c:spPr>
          </c:dPt>
          <c:dPt>
            <c:idx val="1"/>
            <c:bubble3D val="0"/>
            <c:spPr>
              <a:solidFill>
                <a:srgbClr val="EF5FDA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600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Plan1!$O$2:$O$6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Plan1!$P$2:$P$6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13</c:v>
                </c:pt>
                <c:pt idx="3">
                  <c:v>20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6.396459636298076E-3"/>
          <c:y val="3.169106076082312E-2"/>
          <c:w val="0.98103014100189556"/>
          <c:h val="0.12791184025821484"/>
        </c:manualLayout>
      </c:layout>
      <c:overlay val="0"/>
      <c:txPr>
        <a:bodyPr/>
        <a:lstStyle/>
        <a:p>
          <a:pPr>
            <a:defRPr sz="16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131155921337947E-2"/>
          <c:y val="0.18222894014010113"/>
          <c:w val="0.91578641758907964"/>
          <c:h val="0.59333392514801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263719369544002E-2"/>
                  <c:y val="9.763507339360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845617112413475E-3"/>
                  <c:y val="-1.3403470422340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066311957185316E-2"/>
                  <c:y val="0.100315349470205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5775748744480029E-2"/>
                  <c:y val="9.2696801788665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84606677985285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13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60B5CC"/>
            </a:solidFill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3D7FCF"/>
            </a:solidFill>
          </c:spPr>
          <c:invertIfNegative val="0"/>
          <c:dLbls>
            <c:dLbl>
              <c:idx val="2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Plan1!$E$2:$E$6</c:f>
              <c:numCache>
                <c:formatCode>General</c:formatCode>
                <c:ptCount val="5"/>
                <c:pt idx="0">
                  <c:v>1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285EA0"/>
            </a:solidFill>
          </c:spPr>
          <c:invertIfNegative val="0"/>
          <c:dLbls>
            <c:dLbl>
              <c:idx val="2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Plan1!$F$2:$F$6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1E4778"/>
            </a:solidFill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Plan1!$G$2:$G$6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Plan1!$H$1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1E4778"/>
            </a:solidFill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4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Plan1!$H$2:$H$6</c:f>
              <c:numCache>
                <c:formatCode>General</c:formatCode>
                <c:ptCount val="5"/>
              </c:numCache>
            </c:numRef>
          </c:val>
        </c:ser>
        <c:ser>
          <c:idx val="7"/>
          <c:order val="7"/>
          <c:tx>
            <c:strRef>
              <c:f>Plan1!$I$1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1E4778"/>
            </a:solidFill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Plan1!$I$2:$I$6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Plan1!$J$1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2060A"/>
            </a:solidFill>
          </c:spPr>
          <c:invertIfNegative val="0"/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Plan1!$J$2:$J$6</c:f>
              <c:numCache>
                <c:formatCode>General</c:formatCode>
                <c:ptCount val="5"/>
              </c:numCache>
            </c:numRef>
          </c:val>
        </c:ser>
        <c:ser>
          <c:idx val="9"/>
          <c:order val="9"/>
          <c:tx>
            <c:strRef>
              <c:f>Plan1!$K$1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dLbl>
              <c:idx val="0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Plan1!$K$2:$K$6</c:f>
              <c:numCache>
                <c:formatCode>General</c:formatCode>
                <c:ptCount val="5"/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0"/>
          <c:order val="10"/>
          <c:tx>
            <c:strRef>
              <c:f>Plan1!$L$1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Plan1!$L$2:$L$6</c:f>
              <c:numCache>
                <c:formatCode>General</c:formatCode>
                <c:ptCount val="5"/>
                <c:pt idx="3">
                  <c:v>2</c:v>
                </c:pt>
              </c:numCache>
            </c:numRef>
          </c:val>
        </c:ser>
        <c:ser>
          <c:idx val="11"/>
          <c:order val="11"/>
          <c:tx>
            <c:strRef>
              <c:f>Plan1!$M$1</c:f>
              <c:strCache>
                <c:ptCount val="1"/>
                <c:pt idx="0">
                  <c:v>12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6.79117147707979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Azul</c:v>
                </c:pt>
                <c:pt idx="1">
                  <c:v>Rosa</c:v>
                </c:pt>
                <c:pt idx="2">
                  <c:v>Amarela</c:v>
                </c:pt>
                <c:pt idx="3">
                  <c:v>Laranja</c:v>
                </c:pt>
                <c:pt idx="4">
                  <c:v>Vermelho</c:v>
                </c:pt>
              </c:strCache>
            </c:strRef>
          </c:cat>
          <c:val>
            <c:numRef>
              <c:f>Plan1!$M$2:$M$6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8006272"/>
        <c:axId val="198008192"/>
        <c:axId val="0"/>
      </c:bar3DChart>
      <c:catAx>
        <c:axId val="198006272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400"/>
                </a:pPr>
                <a:r>
                  <a:rPr lang="pt-BR" sz="1400"/>
                  <a:t>Mircroáreas da USF Timbó II</a:t>
                </a:r>
              </a:p>
            </c:rich>
          </c:tx>
          <c:layout>
            <c:manualLayout>
              <c:xMode val="edge"/>
              <c:yMode val="edge"/>
              <c:x val="0.7334578017428145"/>
              <c:y val="0.9023568789037607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pt-BR"/>
          </a:p>
        </c:txPr>
        <c:crossAx val="198008192"/>
        <c:crosses val="autoZero"/>
        <c:auto val="1"/>
        <c:lblAlgn val="ctr"/>
        <c:lblOffset val="100"/>
        <c:noMultiLvlLbl val="0"/>
      </c:catAx>
      <c:valAx>
        <c:axId val="198008192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 b="1"/>
                </a:pPr>
                <a:r>
                  <a:rPr lang="pt-BR" sz="1400" b="1"/>
                  <a:t>[Usuários]</a:t>
                </a:r>
              </a:p>
            </c:rich>
          </c:tx>
          <c:layout>
            <c:manualLayout>
              <c:xMode val="edge"/>
              <c:yMode val="edge"/>
              <c:x val="8.8564425228442271E-3"/>
              <c:y val="0.3020565423575641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100"/>
            </a:pPr>
            <a:endParaRPr lang="pt-BR"/>
          </a:p>
        </c:txPr>
        <c:crossAx val="198006272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5.041726926991269E-2"/>
          <c:y val="3.9620306281180198E-2"/>
          <c:w val="0.9275269162783224"/>
          <c:h val="9.6403054052030215E-2"/>
        </c:manualLayout>
      </c:layout>
      <c:overlay val="0"/>
      <c:txPr>
        <a:bodyPr/>
        <a:lstStyle/>
        <a:p>
          <a:pPr>
            <a:defRPr sz="160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04EC-3DCE-4D48-97AB-3959012F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2683</Words>
  <Characters>14492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Hirsch</dc:creator>
  <cp:lastModifiedBy>jessica</cp:lastModifiedBy>
  <cp:revision>2</cp:revision>
  <dcterms:created xsi:type="dcterms:W3CDTF">2011-10-09T22:43:00Z</dcterms:created>
  <dcterms:modified xsi:type="dcterms:W3CDTF">2011-10-09T22:43:00Z</dcterms:modified>
</cp:coreProperties>
</file>