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91" w:rsidRDefault="00E054F7" w:rsidP="002812AE">
      <w:pPr>
        <w:pStyle w:val="Padro"/>
        <w:spacing w:after="0" w:line="100" w:lineRule="atLeast"/>
      </w:pPr>
      <w:bookmarkStart w:id="0" w:name="_GoBack"/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4CCADCBPX04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-P</w:t>
      </w:r>
    </w:p>
    <w:p w:rsidR="00387891" w:rsidRDefault="00E054F7">
      <w:pPr>
        <w:pStyle w:val="Padro"/>
        <w:spacing w:after="0" w:line="100" w:lineRule="atLeast"/>
        <w:jc w:val="center"/>
      </w:pPr>
      <w:r>
        <w:rPr>
          <w:rFonts w:ascii="Arial" w:hAnsi="Arial" w:cs="Arial"/>
          <w:b/>
          <w:sz w:val="20"/>
          <w:szCs w:val="20"/>
        </w:rPr>
        <w:t xml:space="preserve"> RECONHECIMENTO DE PLANTAS TÓXICAS E USO DE PLANTAS MEDICINAIS PELA COMUNIDADE ESCOLAR DE ENSINO PÚBLICO DO MUNICÍPIO AREIA, </w:t>
      </w:r>
      <w:proofErr w:type="gramStart"/>
      <w:r>
        <w:rPr>
          <w:rFonts w:ascii="Arial" w:hAnsi="Arial" w:cs="Arial"/>
          <w:b/>
          <w:sz w:val="20"/>
          <w:szCs w:val="20"/>
        </w:rPr>
        <w:t>PARAÍBA</w:t>
      </w:r>
      <w:proofErr w:type="gramEnd"/>
    </w:p>
    <w:p w:rsidR="00387891" w:rsidRDefault="00E054F7">
      <w:pPr>
        <w:pStyle w:val="Padro"/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 xml:space="preserve">Thales Pereira Medeiros (2); Ramon da Silva Santos (1); </w:t>
      </w:r>
      <w:proofErr w:type="spellStart"/>
      <w:r>
        <w:rPr>
          <w:rFonts w:ascii="Arial" w:hAnsi="Arial" w:cs="Arial"/>
          <w:sz w:val="20"/>
          <w:szCs w:val="20"/>
        </w:rPr>
        <w:t>Izabela</w:t>
      </w:r>
      <w:proofErr w:type="spellEnd"/>
      <w:r>
        <w:rPr>
          <w:rFonts w:ascii="Arial" w:hAnsi="Arial" w:cs="Arial"/>
          <w:sz w:val="20"/>
          <w:szCs w:val="20"/>
        </w:rPr>
        <w:t xml:space="preserve"> Thaís Fidelis Alves da Silva </w:t>
      </w:r>
      <w:r>
        <w:rPr>
          <w:rFonts w:ascii="Arial" w:hAnsi="Arial" w:cs="Arial"/>
          <w:sz w:val="20"/>
          <w:szCs w:val="20"/>
        </w:rPr>
        <w:t xml:space="preserve">(2); </w:t>
      </w:r>
      <w:proofErr w:type="spellStart"/>
      <w:r>
        <w:rPr>
          <w:rFonts w:ascii="Arial" w:hAnsi="Arial" w:cs="Arial"/>
          <w:sz w:val="20"/>
          <w:szCs w:val="20"/>
        </w:rPr>
        <w:t>Thamiris</w:t>
      </w:r>
      <w:proofErr w:type="spellEnd"/>
      <w:r>
        <w:rPr>
          <w:rFonts w:ascii="Arial" w:hAnsi="Arial" w:cs="Arial"/>
          <w:sz w:val="20"/>
          <w:szCs w:val="20"/>
        </w:rPr>
        <w:t xml:space="preserve"> de Melo Silva (2); </w:t>
      </w:r>
      <w:proofErr w:type="spellStart"/>
      <w:r>
        <w:rPr>
          <w:rFonts w:ascii="Arial" w:hAnsi="Arial" w:cs="Arial"/>
          <w:sz w:val="20"/>
          <w:szCs w:val="20"/>
        </w:rPr>
        <w:t>Lenyneves</w:t>
      </w:r>
      <w:proofErr w:type="spellEnd"/>
      <w:r>
        <w:rPr>
          <w:rFonts w:ascii="Arial" w:hAnsi="Arial" w:cs="Arial"/>
          <w:sz w:val="20"/>
          <w:szCs w:val="20"/>
        </w:rPr>
        <w:t xml:space="preserve"> Duarte </w:t>
      </w:r>
      <w:proofErr w:type="spellStart"/>
      <w:r>
        <w:rPr>
          <w:rFonts w:ascii="Arial" w:hAnsi="Arial" w:cs="Arial"/>
          <w:sz w:val="20"/>
          <w:szCs w:val="20"/>
        </w:rPr>
        <w:t>Alvino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Araujo</w:t>
      </w:r>
      <w:proofErr w:type="spellEnd"/>
      <w:r>
        <w:rPr>
          <w:rFonts w:ascii="Arial" w:hAnsi="Arial" w:cs="Arial"/>
          <w:sz w:val="20"/>
          <w:szCs w:val="20"/>
        </w:rPr>
        <w:t xml:space="preserve"> (3); </w:t>
      </w:r>
    </w:p>
    <w:p w:rsidR="00387891" w:rsidRDefault="00E054F7">
      <w:pPr>
        <w:pStyle w:val="Padro"/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>Núbia Pereira da Costa (4); David Holanda de Oliveira (4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</w:p>
    <w:p w:rsidR="00387891" w:rsidRDefault="00E054F7">
      <w:pPr>
        <w:pStyle w:val="Padro"/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>Centro de Ciências Agrárias/Departamento de Ciências Biológicas /PROBEX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</w:p>
    <w:bookmarkEnd w:id="0"/>
    <w:p w:rsidR="00387891" w:rsidRDefault="00387891">
      <w:pPr>
        <w:pStyle w:val="Padro"/>
        <w:spacing w:after="0" w:line="360" w:lineRule="auto"/>
        <w:jc w:val="center"/>
      </w:pPr>
      <w:proofErr w:type="gramEnd"/>
    </w:p>
    <w:p w:rsidR="00387891" w:rsidRDefault="00E054F7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As plantas medicinais são utilizadas popularmente</w:t>
      </w:r>
      <w:r>
        <w:rPr>
          <w:rFonts w:ascii="Arial" w:hAnsi="Arial" w:cs="Arial"/>
          <w:sz w:val="20"/>
          <w:szCs w:val="20"/>
        </w:rPr>
        <w:t xml:space="preserve"> na forma de chás, garrafadas e outros, por apresentarem princípios ativos capazes de curar enfermidades ou por apresentarem sabores apreciados por muitas pessoas. As plantas tóxicas são aquelas que apresentam substâncias </w:t>
      </w:r>
      <w:proofErr w:type="gramStart"/>
      <w:r>
        <w:rPr>
          <w:rFonts w:ascii="Arial" w:hAnsi="Arial" w:cs="Arial"/>
          <w:sz w:val="20"/>
          <w:szCs w:val="20"/>
        </w:rPr>
        <w:t>capazes</w:t>
      </w:r>
      <w:proofErr w:type="gramEnd"/>
      <w:r>
        <w:rPr>
          <w:rFonts w:ascii="Arial" w:hAnsi="Arial" w:cs="Arial"/>
          <w:sz w:val="20"/>
          <w:szCs w:val="20"/>
        </w:rPr>
        <w:t xml:space="preserve"> de causar alterações metab</w:t>
      </w:r>
      <w:r>
        <w:rPr>
          <w:rFonts w:ascii="Arial" w:hAnsi="Arial" w:cs="Arial"/>
          <w:sz w:val="20"/>
          <w:szCs w:val="20"/>
        </w:rPr>
        <w:t>ólicas, reconhecidas como sintomas de intoxicação, que em alguns casos podem causar sérios transtornos e até mesmo levar ao óbito. Estudos apontam que no Brasil de cada dez casos de intoxicação por plantas, seis são em crianças menores de nove anos. O pres</w:t>
      </w:r>
      <w:r>
        <w:rPr>
          <w:rFonts w:ascii="Arial" w:hAnsi="Arial" w:cs="Arial"/>
          <w:sz w:val="20"/>
          <w:szCs w:val="20"/>
        </w:rPr>
        <w:t>ente trabalho foi desenvolvido como parte do Projeto Horta Medicinal e Aromática na Escola, o qual vem sendo desenvolvido em algumas escolas do município. A priori essa pesquisa teve como finalidade conhecer outras escolas e saber sobre o interesse dos seu</w:t>
      </w:r>
      <w:r>
        <w:rPr>
          <w:rFonts w:ascii="Arial" w:hAnsi="Arial" w:cs="Arial"/>
          <w:sz w:val="20"/>
          <w:szCs w:val="20"/>
        </w:rPr>
        <w:t xml:space="preserve">s alunos em participar do projeto. A fim de conhecer a forma de utilização popular das plantas medicinais, bem como saber se os estudantes sabem distingui-las de plantas tóxicas foi feito um levantamento na comunidade escolar de ensino fundamental da rede </w:t>
      </w:r>
      <w:r>
        <w:rPr>
          <w:rFonts w:ascii="Arial" w:hAnsi="Arial" w:cs="Arial"/>
          <w:sz w:val="20"/>
          <w:szCs w:val="20"/>
        </w:rPr>
        <w:t>pública do município de Areia/PB. O levantamento foi realizado, a partir da aplicação de questionários, com questões relacionadas ao reconhecimento das plantas tóxicas e utilização das plantas medicinais pelos alunos, no período de agosto a setembro de 201</w:t>
      </w:r>
      <w:r>
        <w:rPr>
          <w:rFonts w:ascii="Arial" w:hAnsi="Arial" w:cs="Arial"/>
          <w:sz w:val="20"/>
          <w:szCs w:val="20"/>
        </w:rPr>
        <w:t xml:space="preserve">1 nas seguintes escolas: Escola Estadual Álvaro Machado, Escola Estadual Monsenhor João Coutinho e na Escola Municipal de Madre </w:t>
      </w:r>
      <w:proofErr w:type="spellStart"/>
      <w:r>
        <w:rPr>
          <w:rFonts w:ascii="Arial" w:hAnsi="Arial" w:cs="Arial"/>
          <w:sz w:val="20"/>
          <w:szCs w:val="20"/>
        </w:rPr>
        <w:t>Trautlinde</w:t>
      </w:r>
      <w:proofErr w:type="spellEnd"/>
      <w:r>
        <w:rPr>
          <w:rFonts w:ascii="Arial" w:hAnsi="Arial" w:cs="Arial"/>
          <w:sz w:val="20"/>
          <w:szCs w:val="20"/>
        </w:rPr>
        <w:t xml:space="preserve">. Foram entrevistados 275 alunos entre as faixas etárias de 7 a 14 anos. Os resultados obtidos apontaram que 72,3% do </w:t>
      </w:r>
      <w:r>
        <w:rPr>
          <w:rFonts w:ascii="Arial" w:hAnsi="Arial" w:cs="Arial"/>
          <w:sz w:val="20"/>
          <w:szCs w:val="20"/>
        </w:rPr>
        <w:t>total de alunos costumam tomar chá de plantas medicinais no auxílio ao combate de doenças ou simplesmente porque gostam. As três espécies medicinais mais apontadas foram: Boldo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Peumus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boldus</w:t>
      </w:r>
      <w:proofErr w:type="spellEnd"/>
      <w:r>
        <w:rPr>
          <w:rFonts w:ascii="Arial" w:hAnsi="Arial" w:cs="Arial"/>
          <w:iCs/>
          <w:sz w:val="20"/>
          <w:szCs w:val="20"/>
        </w:rPr>
        <w:t>) (34,8%)</w:t>
      </w:r>
      <w:proofErr w:type="gramStart"/>
      <w:r>
        <w:rPr>
          <w:rFonts w:ascii="Arial" w:hAnsi="Arial" w:cs="Arial"/>
          <w:sz w:val="20"/>
          <w:szCs w:val="20"/>
        </w:rPr>
        <w:t>, Erva</w:t>
      </w:r>
      <w:proofErr w:type="gramEnd"/>
      <w:r>
        <w:rPr>
          <w:rFonts w:ascii="Arial" w:hAnsi="Arial" w:cs="Arial"/>
          <w:sz w:val="20"/>
          <w:szCs w:val="20"/>
        </w:rPr>
        <w:t xml:space="preserve"> Cidreira (</w:t>
      </w:r>
      <w:r>
        <w:rPr>
          <w:rFonts w:ascii="Arial" w:hAnsi="Arial" w:cs="Arial"/>
          <w:i/>
          <w:sz w:val="20"/>
          <w:szCs w:val="20"/>
        </w:rPr>
        <w:t xml:space="preserve">Melissa </w:t>
      </w:r>
      <w:proofErr w:type="spellStart"/>
      <w:r>
        <w:rPr>
          <w:rFonts w:ascii="Arial" w:hAnsi="Arial" w:cs="Arial"/>
          <w:i/>
          <w:sz w:val="20"/>
          <w:szCs w:val="20"/>
        </w:rPr>
        <w:t>ofifcinalis</w:t>
      </w:r>
      <w:proofErr w:type="spellEnd"/>
      <w:r>
        <w:rPr>
          <w:rFonts w:ascii="Arial" w:hAnsi="Arial" w:cs="Arial"/>
          <w:sz w:val="20"/>
          <w:szCs w:val="20"/>
        </w:rPr>
        <w:t>) (21,2%), Capim San</w:t>
      </w:r>
      <w:r>
        <w:rPr>
          <w:rFonts w:ascii="Arial" w:hAnsi="Arial" w:cs="Arial"/>
          <w:sz w:val="20"/>
          <w:szCs w:val="20"/>
        </w:rPr>
        <w:t>to (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Cymbopogon</w:t>
      </w:r>
      <w:proofErr w:type="spellEnd"/>
      <w:r>
        <w:rPr>
          <w:rStyle w:val="st"/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citratus</w:t>
      </w:r>
      <w:proofErr w:type="spellEnd"/>
      <w:r>
        <w:rPr>
          <w:rStyle w:val="st"/>
          <w:rFonts w:ascii="Arial" w:hAnsi="Arial" w:cs="Arial"/>
          <w:sz w:val="20"/>
          <w:szCs w:val="20"/>
        </w:rPr>
        <w:t>) (18,2%) e outros (25,8%), principalmente na forma de chás</w:t>
      </w:r>
      <w:r>
        <w:rPr>
          <w:rFonts w:ascii="Arial" w:hAnsi="Arial" w:cs="Arial"/>
          <w:sz w:val="20"/>
          <w:szCs w:val="20"/>
        </w:rPr>
        <w:t xml:space="preserve">. Como o esperado, apenas 29,7% dos alunos afirmou conhecer e diferenciar plantas medicinais de plantas tóxicas. A planta tóxica mais citada pelos alunos foi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espécie conhec</w:t>
      </w:r>
      <w:r>
        <w:rPr>
          <w:rFonts w:ascii="Arial" w:hAnsi="Arial" w:cs="Arial"/>
          <w:sz w:val="20"/>
          <w:szCs w:val="20"/>
        </w:rPr>
        <w:t>ida popularmente como “Comigo Ninguém Pode” (</w:t>
      </w:r>
      <w:proofErr w:type="spellStart"/>
      <w:r>
        <w:rPr>
          <w:rFonts w:ascii="Arial" w:hAnsi="Arial" w:cs="Arial"/>
          <w:i/>
          <w:sz w:val="20"/>
          <w:szCs w:val="20"/>
        </w:rPr>
        <w:t>Dieffenbachia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pictia</w:t>
      </w:r>
      <w:proofErr w:type="spellEnd"/>
      <w:r>
        <w:rPr>
          <w:rFonts w:ascii="Arial" w:hAnsi="Arial" w:cs="Arial"/>
          <w:sz w:val="20"/>
          <w:szCs w:val="20"/>
        </w:rPr>
        <w:t xml:space="preserve"> Schott) com 82,2%. O levantamento demonstrou que os alunos dão importância ao potencial das plantas medicinais, entretanto, a falta de conhecimento dos alunos em relação às plantas tóxicas, </w:t>
      </w:r>
      <w:r>
        <w:rPr>
          <w:rFonts w:ascii="Arial" w:hAnsi="Arial" w:cs="Arial"/>
          <w:sz w:val="20"/>
          <w:szCs w:val="20"/>
        </w:rPr>
        <w:t xml:space="preserve">evidencia que é necessário que haja projetos educativos junto à população da cidade para promover e levar o conhecimento a respeito do real potencial das plantas medicinais e o perigo de confundi-las com as plantas </w:t>
      </w:r>
      <w:proofErr w:type="gramStart"/>
      <w:r>
        <w:rPr>
          <w:rFonts w:ascii="Arial" w:hAnsi="Arial" w:cs="Arial"/>
          <w:sz w:val="20"/>
          <w:szCs w:val="20"/>
        </w:rPr>
        <w:t>tóxicas</w:t>
      </w:r>
      <w:proofErr w:type="gramEnd"/>
    </w:p>
    <w:p w:rsidR="00387891" w:rsidRDefault="00E054F7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PALAVRAS CHAVE: cultura popular, </w:t>
      </w:r>
      <w:r>
        <w:rPr>
          <w:rFonts w:ascii="Arial" w:hAnsi="Arial" w:cs="Arial"/>
          <w:sz w:val="20"/>
          <w:szCs w:val="20"/>
        </w:rPr>
        <w:t xml:space="preserve">potencial medicinal, potencial tóxico.  </w:t>
      </w:r>
    </w:p>
    <w:sectPr w:rsidR="00387891">
      <w:footerReference w:type="default" r:id="rId8"/>
      <w:pgSz w:w="11906" w:h="16838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F7" w:rsidRDefault="00E054F7">
      <w:pPr>
        <w:spacing w:after="0" w:line="240" w:lineRule="auto"/>
      </w:pPr>
      <w:r>
        <w:separator/>
      </w:r>
    </w:p>
  </w:endnote>
  <w:endnote w:type="continuationSeparator" w:id="0">
    <w:p w:rsidR="00E054F7" w:rsidRDefault="00E0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91" w:rsidRDefault="00E054F7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Aluno Bolsista</w:t>
    </w:r>
  </w:p>
  <w:p w:rsidR="00387891" w:rsidRDefault="00E054F7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Aluno Colaborador</w:t>
    </w:r>
  </w:p>
  <w:p w:rsidR="00387891" w:rsidRDefault="00E054F7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Orientador/ Coordenador</w:t>
    </w:r>
  </w:p>
  <w:p w:rsidR="00387891" w:rsidRDefault="00E054F7">
    <w:pPr>
      <w:pStyle w:val="Rodap"/>
    </w:pPr>
    <w:r>
      <w:rPr>
        <w:rFonts w:ascii="Arial" w:hAnsi="Arial" w:cs="Arial"/>
        <w:sz w:val="16"/>
        <w:szCs w:val="16"/>
      </w:rPr>
      <w:t>4. Professor Colaborador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F7" w:rsidRDefault="00E054F7">
      <w:pPr>
        <w:spacing w:after="0" w:line="240" w:lineRule="auto"/>
      </w:pPr>
      <w:r>
        <w:separator/>
      </w:r>
    </w:p>
  </w:footnote>
  <w:footnote w:type="continuationSeparator" w:id="0">
    <w:p w:rsidR="00E054F7" w:rsidRDefault="00E0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4801"/>
    <w:multiLevelType w:val="multilevel"/>
    <w:tmpl w:val="1F205EA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2.%3."/>
      <w:lvlJc w:val="right"/>
      <w:pPr>
        <w:ind w:left="4352" w:hanging="180"/>
      </w:pPr>
    </w:lvl>
    <w:lvl w:ilvl="3">
      <w:start w:val="1"/>
      <w:numFmt w:val="decimal"/>
      <w:lvlText w:val="%2.%3.%4."/>
      <w:lvlJc w:val="left"/>
      <w:pPr>
        <w:ind w:left="5072" w:hanging="360"/>
      </w:pPr>
    </w:lvl>
    <w:lvl w:ilvl="4">
      <w:start w:val="1"/>
      <w:numFmt w:val="lowerLetter"/>
      <w:lvlText w:val="%2.%3.%4.%5."/>
      <w:lvlJc w:val="left"/>
      <w:pPr>
        <w:ind w:left="5792" w:hanging="360"/>
      </w:pPr>
    </w:lvl>
    <w:lvl w:ilvl="5">
      <w:start w:val="1"/>
      <w:numFmt w:val="lowerRoman"/>
      <w:lvlText w:val="%2.%3.%4.%5.%6."/>
      <w:lvlJc w:val="right"/>
      <w:pPr>
        <w:ind w:left="6512" w:hanging="180"/>
      </w:pPr>
    </w:lvl>
    <w:lvl w:ilvl="6">
      <w:start w:val="1"/>
      <w:numFmt w:val="decimal"/>
      <w:lvlText w:val="%2.%3.%4.%5.%6.%7."/>
      <w:lvlJc w:val="left"/>
      <w:pPr>
        <w:ind w:left="7232" w:hanging="360"/>
      </w:pPr>
    </w:lvl>
    <w:lvl w:ilvl="7">
      <w:start w:val="1"/>
      <w:numFmt w:val="lowerLetter"/>
      <w:lvlText w:val="%2.%3.%4.%5.%6.%7.%8."/>
      <w:lvlJc w:val="left"/>
      <w:pPr>
        <w:ind w:left="7952" w:hanging="360"/>
      </w:pPr>
    </w:lvl>
    <w:lvl w:ilvl="8">
      <w:start w:val="1"/>
      <w:numFmt w:val="lowerRoman"/>
      <w:lvlText w:val="%2.%3.%4.%5.%6.%7.%8.%9."/>
      <w:lvlJc w:val="right"/>
      <w:pPr>
        <w:ind w:left="8672" w:hanging="180"/>
      </w:pPr>
    </w:lvl>
  </w:abstractNum>
  <w:abstractNum w:abstractNumId="1">
    <w:nsid w:val="36132726"/>
    <w:multiLevelType w:val="multilevel"/>
    <w:tmpl w:val="114292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891"/>
    <w:rsid w:val="002812AE"/>
    <w:rsid w:val="00387891"/>
    <w:rsid w:val="00BF23B2"/>
    <w:rsid w:val="00E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st">
    <w:name w:val="st"/>
    <w:basedOn w:val="Fontepargpadro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Textodecomentrio">
    <w:name w:val="annotation text"/>
    <w:basedOn w:val="Padro"/>
    <w:pPr>
      <w:spacing w:line="100" w:lineRule="atLeast"/>
    </w:pPr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Carla</dc:creator>
  <cp:lastModifiedBy>jessica</cp:lastModifiedBy>
  <cp:revision>11</cp:revision>
  <dcterms:created xsi:type="dcterms:W3CDTF">2011-09-25T12:09:00Z</dcterms:created>
  <dcterms:modified xsi:type="dcterms:W3CDTF">2011-12-17T16:02:00Z</dcterms:modified>
</cp:coreProperties>
</file>